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6FC7" w14:textId="77777777" w:rsidR="00D17F69" w:rsidRDefault="00D17F69" w:rsidP="00D17F69">
      <w:pPr>
        <w:jc w:val="center"/>
        <w:rPr>
          <w:b/>
          <w:sz w:val="28"/>
          <w:szCs w:val="28"/>
        </w:rPr>
      </w:pPr>
    </w:p>
    <w:p w14:paraId="286DF7A4" w14:textId="77777777" w:rsidR="00D17F69" w:rsidRDefault="00D17F69" w:rsidP="00D17F69">
      <w:pPr>
        <w:rPr>
          <w:b/>
          <w:sz w:val="28"/>
          <w:szCs w:val="28"/>
        </w:rPr>
      </w:pPr>
    </w:p>
    <w:p w14:paraId="1DC219F5" w14:textId="77777777" w:rsidR="00D17F69" w:rsidRDefault="00D17F69" w:rsidP="00D17F69">
      <w:pPr>
        <w:pStyle w:val="BodyText"/>
        <w:jc w:val="center"/>
        <w:rPr>
          <w:rFonts w:ascii="Century"/>
          <w:sz w:val="20"/>
        </w:rPr>
      </w:pPr>
      <w:r w:rsidRPr="009F4CB4">
        <w:rPr>
          <w:rFonts w:ascii="Century Gothic" w:hAnsi="Century Gothic"/>
          <w:noProof/>
          <w:sz w:val="48"/>
          <w:szCs w:val="48"/>
        </w:rPr>
        <w:drawing>
          <wp:inline distT="0" distB="0" distL="0" distR="0" wp14:anchorId="4D97CCA0" wp14:editId="5391F8CE">
            <wp:extent cx="4759325" cy="475932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14:paraId="3A6A9B81" w14:textId="77777777" w:rsidR="00D17F69" w:rsidRDefault="00D17F69" w:rsidP="00D17F69">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The Children First Learning Partnership</w:t>
      </w:r>
    </w:p>
    <w:p w14:paraId="26DC72FD" w14:textId="77777777" w:rsidR="00D17F69" w:rsidRDefault="00D17F69" w:rsidP="00D17F69">
      <w:pPr>
        <w:jc w:val="center"/>
        <w:rPr>
          <w:rFonts w:ascii="Century Gothic" w:hAnsi="Century Gothic" w:cs="Calibri"/>
          <w:b/>
          <w:bCs/>
          <w:color w:val="431A66"/>
          <w:sz w:val="48"/>
          <w:szCs w:val="48"/>
        </w:rPr>
      </w:pPr>
      <w:r>
        <w:rPr>
          <w:rFonts w:ascii="Century Gothic" w:hAnsi="Century Gothic" w:cs="Calibri"/>
          <w:b/>
          <w:bCs/>
          <w:color w:val="431A66"/>
          <w:sz w:val="48"/>
          <w:szCs w:val="48"/>
        </w:rPr>
        <w:t xml:space="preserve">Accounting Policy </w:t>
      </w:r>
    </w:p>
    <w:p w14:paraId="7234268E" w14:textId="75D5A743" w:rsidR="00D17F69" w:rsidRDefault="00D17F69" w:rsidP="00D17F69">
      <w:pPr>
        <w:jc w:val="center"/>
        <w:rPr>
          <w:rFonts w:ascii="Century Gothic" w:hAnsi="Century Gothic" w:cs="Calibri"/>
          <w:b/>
          <w:bCs/>
          <w:color w:val="431A66"/>
          <w:sz w:val="48"/>
          <w:szCs w:val="48"/>
        </w:rPr>
      </w:pPr>
      <w:r>
        <w:rPr>
          <w:rFonts w:ascii="Century Gothic" w:hAnsi="Century Gothic" w:cs="Calibri"/>
          <w:b/>
          <w:bCs/>
          <w:color w:val="431A66"/>
          <w:sz w:val="48"/>
          <w:szCs w:val="48"/>
        </w:rPr>
        <w:t>202</w:t>
      </w:r>
      <w:r w:rsidR="00336129">
        <w:rPr>
          <w:rFonts w:ascii="Century Gothic" w:hAnsi="Century Gothic" w:cs="Calibri"/>
          <w:b/>
          <w:bCs/>
          <w:color w:val="431A66"/>
          <w:sz w:val="48"/>
          <w:szCs w:val="48"/>
        </w:rPr>
        <w:t>4</w:t>
      </w:r>
      <w:r>
        <w:rPr>
          <w:rFonts w:ascii="Century Gothic" w:hAnsi="Century Gothic" w:cs="Calibri"/>
          <w:b/>
          <w:bCs/>
          <w:color w:val="431A66"/>
          <w:sz w:val="48"/>
          <w:szCs w:val="48"/>
        </w:rPr>
        <w:t>-202</w:t>
      </w:r>
      <w:r w:rsidR="00336129">
        <w:rPr>
          <w:rFonts w:ascii="Century Gothic" w:hAnsi="Century Gothic" w:cs="Calibri"/>
          <w:b/>
          <w:bCs/>
          <w:color w:val="431A66"/>
          <w:sz w:val="48"/>
          <w:szCs w:val="48"/>
        </w:rPr>
        <w:t>5</w:t>
      </w:r>
    </w:p>
    <w:p w14:paraId="55B7FCD6" w14:textId="396057B9" w:rsidR="00D17F69" w:rsidRDefault="00D17F69" w:rsidP="00D17F69">
      <w:pPr>
        <w:jc w:val="center"/>
        <w:rPr>
          <w:rFonts w:ascii="Century Gothic" w:hAnsi="Century Gothic" w:cs="Calibri"/>
          <w:b/>
          <w:bCs/>
          <w:color w:val="431A66"/>
          <w:sz w:val="48"/>
          <w:szCs w:val="48"/>
        </w:rPr>
      </w:pPr>
      <w:r w:rsidRPr="004235CB">
        <w:rPr>
          <w:rFonts w:ascii="Century Gothic" w:hAnsi="Century Gothic" w:cs="Calibri"/>
          <w:b/>
          <w:bCs/>
          <w:color w:val="431A66"/>
          <w:sz w:val="28"/>
          <w:szCs w:val="28"/>
        </w:rPr>
        <w:t>(Version</w:t>
      </w:r>
      <w:r>
        <w:rPr>
          <w:rFonts w:ascii="Century Gothic" w:hAnsi="Century Gothic" w:cs="Calibri"/>
          <w:b/>
          <w:bCs/>
          <w:color w:val="431A66"/>
          <w:sz w:val="28"/>
          <w:szCs w:val="28"/>
        </w:rPr>
        <w:t xml:space="preserve"> </w:t>
      </w:r>
      <w:r w:rsidR="00336129">
        <w:rPr>
          <w:rFonts w:ascii="Century Gothic" w:hAnsi="Century Gothic" w:cs="Calibri"/>
          <w:b/>
          <w:bCs/>
          <w:color w:val="431A66"/>
          <w:sz w:val="28"/>
          <w:szCs w:val="28"/>
        </w:rPr>
        <w:t>5</w:t>
      </w:r>
      <w:r>
        <w:rPr>
          <w:rFonts w:ascii="Century Gothic" w:hAnsi="Century Gothic" w:cs="Calibri"/>
          <w:b/>
          <w:bCs/>
          <w:color w:val="431A66"/>
          <w:sz w:val="28"/>
          <w:szCs w:val="28"/>
        </w:rPr>
        <w:t>)</w:t>
      </w:r>
    </w:p>
    <w:p w14:paraId="0E6B8346" w14:textId="77777777" w:rsidR="00D17F69" w:rsidRPr="00207202" w:rsidRDefault="00D17F69" w:rsidP="00D17F69">
      <w:pPr>
        <w:jc w:val="center"/>
        <w:rPr>
          <w:rFonts w:ascii="Gill Sans MT" w:eastAsia="Calibri" w:hAnsi="Gill Sans MT"/>
          <w:color w:val="595959"/>
          <w:sz w:val="48"/>
          <w:szCs w:val="48"/>
          <w:u w:val="single"/>
        </w:rPr>
      </w:pPr>
      <w:r>
        <w:rPr>
          <w:rFonts w:ascii="Century"/>
          <w:noProof/>
          <w:sz w:val="20"/>
          <w:lang w:eastAsia="en-GB"/>
        </w:rPr>
        <mc:AlternateContent>
          <mc:Choice Requires="wpg">
            <w:drawing>
              <wp:inline distT="0" distB="0" distL="0" distR="0" wp14:anchorId="2202D925" wp14:editId="62511FE7">
                <wp:extent cx="5731459" cy="1783715"/>
                <wp:effectExtent l="0" t="0" r="22225" b="260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459" cy="1783715"/>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7"/>
                            <a:ext cx="299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0194F" w14:textId="26064ED5" w:rsidR="00D17F69" w:rsidRPr="00786656" w:rsidRDefault="00D17F69" w:rsidP="00D17F69">
                              <w:pPr>
                                <w:rPr>
                                  <w:rFonts w:ascii="Lucida Bright"/>
                                  <w:i/>
                                  <w:lang w:val="en-US"/>
                                </w:rPr>
                              </w:pPr>
                              <w:r>
                                <w:rPr>
                                  <w:rFonts w:ascii="Lucida Bright"/>
                                  <w:i/>
                                  <w:lang w:val="en-US"/>
                                </w:rPr>
                                <w:t>December 202</w:t>
                              </w:r>
                              <w:r w:rsidR="00336129">
                                <w:rPr>
                                  <w:rFonts w:ascii="Lucida Bright"/>
                                  <w:i/>
                                  <w:lang w:val="en-US"/>
                                </w:rPr>
                                <w:t>5</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7C8D5" w14:textId="77777777" w:rsidR="00D17F69" w:rsidRDefault="00D17F69" w:rsidP="00D17F69">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320" y="2190"/>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8B1E" w14:textId="1618618A" w:rsidR="00D17F69" w:rsidRDefault="00D17F69" w:rsidP="00D17F69">
                              <w:pPr>
                                <w:spacing w:line="235" w:lineRule="exact"/>
                                <w:rPr>
                                  <w:rFonts w:ascii="Lucida Bright"/>
                                  <w:i/>
                                  <w:sz w:val="20"/>
                                </w:rPr>
                              </w:pPr>
                              <w:r>
                                <w:rPr>
                                  <w:rFonts w:ascii="Lucida Bright"/>
                                  <w:i/>
                                  <w:sz w:val="20"/>
                                </w:rPr>
                                <w:t>December 202</w:t>
                              </w:r>
                              <w:r w:rsidR="00336129">
                                <w:rPr>
                                  <w:rFonts w:ascii="Lucida Bright"/>
                                  <w:i/>
                                  <w:sz w:val="20"/>
                                </w:rPr>
                                <w:t>4</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BB91" w14:textId="77777777" w:rsidR="00D17F69" w:rsidRDefault="00D17F69" w:rsidP="00D17F69">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6FF6" w14:textId="77777777" w:rsidR="00D17F69" w:rsidRDefault="00D17F69" w:rsidP="00D17F69">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F261" w14:textId="77777777" w:rsidR="00D17F69" w:rsidRDefault="00D17F69" w:rsidP="00D17F6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74E0E" w14:textId="77777777" w:rsidR="00D17F69" w:rsidRPr="00CA4DAA" w:rsidRDefault="00D17F69" w:rsidP="00D17F69">
                              <w:pPr>
                                <w:rPr>
                                  <w:rFonts w:ascii="Lucida Bright"/>
                                  <w:i/>
                                  <w:lang w:val="en-US"/>
                                </w:rPr>
                              </w:pPr>
                              <w:proofErr w:type="spellStart"/>
                              <w:r>
                                <w:rPr>
                                  <w:rFonts w:ascii="Lucida Bright"/>
                                  <w:i/>
                                  <w:lang w:val="en-US"/>
                                </w:rPr>
                                <w:t>Mrs</w:t>
                              </w:r>
                              <w:proofErr w:type="spellEnd"/>
                              <w:r>
                                <w:rPr>
                                  <w:rFonts w:ascii="Lucida Bright"/>
                                  <w:i/>
                                  <w:lang w:val="en-US"/>
                                </w:rPr>
                                <w:t xml:space="preserve">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2841" w14:textId="77777777" w:rsidR="00D17F69" w:rsidRDefault="00D17F69" w:rsidP="00D17F69">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44" y="140"/>
                            <a:ext cx="9660"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73627" w14:textId="77777777" w:rsidR="00D17F69" w:rsidRDefault="00D17F69" w:rsidP="00D17F69">
                              <w:pPr>
                                <w:spacing w:line="235" w:lineRule="auto"/>
                                <w:jc w:val="center"/>
                                <w:rPr>
                                  <w:rFonts w:ascii="Century"/>
                                </w:rPr>
                              </w:pPr>
                              <w:r>
                                <w:rPr>
                                  <w:rFonts w:ascii="Century"/>
                                  <w:w w:val="110"/>
                                </w:rPr>
                                <w:t>The Accounting Policy in respect of the Children First Learning Partnership has been discussed and adopted by the Directors Board at the meeting held on 11.12.23</w:t>
                              </w:r>
                            </w:p>
                          </w:txbxContent>
                        </wps:txbx>
                        <wps:bodyPr rot="0" vert="horz" wrap="square" lIns="0" tIns="0" rIns="0" bIns="0" anchor="t" anchorCtr="0" upright="1">
                          <a:noAutofit/>
                        </wps:bodyPr>
                      </wps:wsp>
                    </wpg:wgp>
                  </a:graphicData>
                </a:graphic>
              </wp:inline>
            </w:drawing>
          </mc:Choice>
          <mc:Fallback>
            <w:pict>
              <v:group w14:anchorId="2202D925" id="Group 5" o:spid="_x0000_s1026" style="width:451.3pt;height:140.4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7;width:299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AD0194F" w14:textId="26064ED5" w:rsidR="00D17F69" w:rsidRPr="00786656" w:rsidRDefault="00D17F69" w:rsidP="00D17F69">
                        <w:pPr>
                          <w:rPr>
                            <w:rFonts w:ascii="Lucida Bright"/>
                            <w:i/>
                            <w:lang w:val="en-US"/>
                          </w:rPr>
                        </w:pPr>
                        <w:r>
                          <w:rPr>
                            <w:rFonts w:ascii="Lucida Bright"/>
                            <w:i/>
                            <w:lang w:val="en-US"/>
                          </w:rPr>
                          <w:t>December 202</w:t>
                        </w:r>
                        <w:r w:rsidR="00336129">
                          <w:rPr>
                            <w:rFonts w:ascii="Lucida Bright"/>
                            <w:i/>
                            <w:lang w:val="en-US"/>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C67C8D5" w14:textId="77777777" w:rsidR="00D17F69" w:rsidRDefault="00D17F69" w:rsidP="00D17F69">
                        <w:pPr>
                          <w:rPr>
                            <w:rFonts w:ascii="Lucida Bright"/>
                            <w:i/>
                          </w:rPr>
                        </w:pPr>
                        <w:r>
                          <w:rPr>
                            <w:rFonts w:ascii="Lucida Bright"/>
                            <w:i/>
                          </w:rPr>
                          <w:t>To be reviewed:</w:t>
                        </w:r>
                      </w:p>
                    </w:txbxContent>
                  </v:textbox>
                </v:shape>
                <v:shape id="Text Box 37" o:spid="_x0000_s1061" type="#_x0000_t202" style="position:absolute;left:5320;top:2190;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4908B1E" w14:textId="1618618A" w:rsidR="00D17F69" w:rsidRDefault="00D17F69" w:rsidP="00D17F69">
                        <w:pPr>
                          <w:spacing w:line="235" w:lineRule="exact"/>
                          <w:rPr>
                            <w:rFonts w:ascii="Lucida Bright"/>
                            <w:i/>
                            <w:sz w:val="20"/>
                          </w:rPr>
                        </w:pPr>
                        <w:r>
                          <w:rPr>
                            <w:rFonts w:ascii="Lucida Bright"/>
                            <w:i/>
                            <w:sz w:val="20"/>
                          </w:rPr>
                          <w:t>December 202</w:t>
                        </w:r>
                        <w:r w:rsidR="00336129">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835BB91" w14:textId="77777777" w:rsidR="00D17F69" w:rsidRDefault="00D17F69" w:rsidP="00D17F69">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0696FF6" w14:textId="77777777" w:rsidR="00D17F69" w:rsidRDefault="00D17F69" w:rsidP="00D17F69">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7F8F261" w14:textId="77777777" w:rsidR="00D17F69" w:rsidRDefault="00D17F69" w:rsidP="00D17F6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4774E0E" w14:textId="77777777" w:rsidR="00D17F69" w:rsidRPr="00CA4DAA" w:rsidRDefault="00D17F69" w:rsidP="00D17F69">
                        <w:pPr>
                          <w:rPr>
                            <w:rFonts w:ascii="Lucida Bright"/>
                            <w:i/>
                            <w:lang w:val="en-US"/>
                          </w:rPr>
                        </w:pPr>
                        <w:proofErr w:type="spellStart"/>
                        <w:r>
                          <w:rPr>
                            <w:rFonts w:ascii="Lucida Bright"/>
                            <w:i/>
                            <w:lang w:val="en-US"/>
                          </w:rPr>
                          <w:t>Mrs</w:t>
                        </w:r>
                        <w:proofErr w:type="spellEnd"/>
                        <w:r>
                          <w:rPr>
                            <w:rFonts w:ascii="Lucida Bright"/>
                            <w:i/>
                            <w:lang w:val="en-US"/>
                          </w:rPr>
                          <w:t xml:space="preserve">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FFA2841" w14:textId="77777777" w:rsidR="00D17F69" w:rsidRDefault="00D17F69" w:rsidP="00D17F69">
                        <w:pPr>
                          <w:rPr>
                            <w:rFonts w:ascii="Lucida Bright"/>
                            <w:i/>
                          </w:rPr>
                        </w:pPr>
                        <w:r>
                          <w:rPr>
                            <w:rFonts w:ascii="Lucida Bright"/>
                            <w:i/>
                          </w:rPr>
                          <w:t>Chair of Board:</w:t>
                        </w:r>
                      </w:p>
                    </w:txbxContent>
                  </v:textbox>
                </v:shape>
                <v:shape id="Text Box 43" o:spid="_x0000_s1067" type="#_x0000_t202" style="position:absolute;left:44;top:140;width:966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AE73627" w14:textId="77777777" w:rsidR="00D17F69" w:rsidRDefault="00D17F69" w:rsidP="00D17F69">
                        <w:pPr>
                          <w:spacing w:line="235" w:lineRule="auto"/>
                          <w:jc w:val="center"/>
                          <w:rPr>
                            <w:rFonts w:ascii="Century"/>
                          </w:rPr>
                        </w:pPr>
                        <w:r>
                          <w:rPr>
                            <w:rFonts w:ascii="Century"/>
                            <w:w w:val="110"/>
                          </w:rPr>
                          <w:t>The Accounting Policy in respect of the Children First Learning Partnership has been discussed and adopted by the Directors Board at the meeting held on 11.12.23</w:t>
                        </w:r>
                      </w:p>
                    </w:txbxContent>
                  </v:textbox>
                </v:shape>
                <w10:anchorlock/>
              </v:group>
            </w:pict>
          </mc:Fallback>
        </mc:AlternateContent>
      </w:r>
    </w:p>
    <w:p w14:paraId="68D8BEC4" w14:textId="57D191D0" w:rsidR="0071211A" w:rsidRDefault="0071211A" w:rsidP="00980496">
      <w:pPr>
        <w:rPr>
          <w:b/>
          <w:sz w:val="28"/>
          <w:szCs w:val="28"/>
        </w:rPr>
      </w:pPr>
    </w:p>
    <w:p w14:paraId="275CEBBC" w14:textId="77777777" w:rsidR="0071211A" w:rsidRPr="00291BBC" w:rsidRDefault="0071211A" w:rsidP="00980496">
      <w:pPr>
        <w:rPr>
          <w:rFonts w:ascii="Helvetica" w:hAnsi="Helvetica" w:cs="Helvetica"/>
          <w:b/>
          <w:sz w:val="24"/>
          <w:szCs w:val="24"/>
        </w:rPr>
      </w:pPr>
    </w:p>
    <w:p w14:paraId="6E35923D" w14:textId="2443DA6F" w:rsidR="008350E6" w:rsidRPr="00291BBC" w:rsidRDefault="008350E6" w:rsidP="008350E6">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Aims </w:t>
      </w:r>
    </w:p>
    <w:p w14:paraId="5A1F97AF" w14:textId="77777777" w:rsidR="00291BBC" w:rsidRPr="00291BBC" w:rsidRDefault="00291BBC" w:rsidP="00291BBC">
      <w:pPr>
        <w:pStyle w:val="ListParagraph"/>
        <w:ind w:left="1080"/>
        <w:rPr>
          <w:rFonts w:ascii="Helvetica" w:hAnsi="Helvetica" w:cs="Helvetica"/>
          <w:b/>
          <w:sz w:val="24"/>
          <w:szCs w:val="24"/>
        </w:rPr>
      </w:pPr>
    </w:p>
    <w:p w14:paraId="183822D4" w14:textId="110F5179" w:rsidR="008350E6"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As per the Education and Skills Funding Agency’s Academies</w:t>
      </w:r>
      <w:r w:rsidR="002D79A6" w:rsidRPr="00291BBC">
        <w:rPr>
          <w:rFonts w:ascii="Helvetica" w:hAnsi="Helvetica" w:cs="Helvetica"/>
          <w:sz w:val="24"/>
          <w:szCs w:val="24"/>
        </w:rPr>
        <w:t xml:space="preserve"> Accounts Direction 202</w:t>
      </w:r>
      <w:r w:rsidR="00E2280D">
        <w:rPr>
          <w:rFonts w:ascii="Helvetica" w:hAnsi="Helvetica" w:cs="Helvetica"/>
          <w:sz w:val="24"/>
          <w:szCs w:val="24"/>
        </w:rPr>
        <w:t>3</w:t>
      </w:r>
      <w:r w:rsidRPr="00291BBC">
        <w:rPr>
          <w:rFonts w:ascii="Helvetica" w:hAnsi="Helvetica" w:cs="Helvetica"/>
          <w:sz w:val="24"/>
          <w:szCs w:val="24"/>
        </w:rPr>
        <w:t xml:space="preserve"> to 20</w:t>
      </w:r>
      <w:r w:rsidR="002D79A6" w:rsidRPr="00291BBC">
        <w:rPr>
          <w:rFonts w:ascii="Helvetica" w:hAnsi="Helvetica" w:cs="Helvetica"/>
          <w:sz w:val="24"/>
          <w:szCs w:val="24"/>
        </w:rPr>
        <w:t>2</w:t>
      </w:r>
      <w:r w:rsidR="00E2280D">
        <w:rPr>
          <w:rFonts w:ascii="Helvetica" w:hAnsi="Helvetica" w:cs="Helvetica"/>
          <w:sz w:val="24"/>
          <w:szCs w:val="24"/>
        </w:rPr>
        <w:t>4</w:t>
      </w:r>
      <w:r w:rsidRPr="00291BBC">
        <w:rPr>
          <w:rFonts w:ascii="Helvetica" w:hAnsi="Helvetica" w:cs="Helvetica"/>
          <w:sz w:val="24"/>
          <w:szCs w:val="24"/>
        </w:rPr>
        <w:t xml:space="preserve">, these accounting policies aim to set out the principles, bases, conventions and rules by which transactions and items are recognised, measured and presented in the academy trust’s accounts. </w:t>
      </w:r>
    </w:p>
    <w:p w14:paraId="3C9CCB73" w14:textId="77777777" w:rsidR="008350E6" w:rsidRPr="00291BBC" w:rsidRDefault="008350E6" w:rsidP="008350E6">
      <w:pPr>
        <w:pStyle w:val="ListParagraph"/>
        <w:ind w:left="1080"/>
        <w:rPr>
          <w:rFonts w:ascii="Helvetica" w:hAnsi="Helvetica" w:cs="Helvetica"/>
          <w:sz w:val="24"/>
          <w:szCs w:val="24"/>
        </w:rPr>
      </w:pPr>
    </w:p>
    <w:p w14:paraId="6635C99A" w14:textId="35A389E7" w:rsidR="008350E6" w:rsidRPr="00291BBC" w:rsidRDefault="008350E6" w:rsidP="008350E6">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Legislation and statutory requirements </w:t>
      </w:r>
    </w:p>
    <w:p w14:paraId="5DEE3111" w14:textId="77777777" w:rsidR="00291BBC" w:rsidRPr="00291BBC" w:rsidRDefault="00291BBC" w:rsidP="00291BBC">
      <w:pPr>
        <w:pStyle w:val="ListParagraph"/>
        <w:ind w:left="1080"/>
        <w:rPr>
          <w:rFonts w:ascii="Helvetica" w:hAnsi="Helvetica" w:cs="Helvetica"/>
          <w:b/>
          <w:sz w:val="24"/>
          <w:szCs w:val="24"/>
        </w:rPr>
      </w:pPr>
    </w:p>
    <w:p w14:paraId="3883F615" w14:textId="77777777" w:rsidR="00BA1703" w:rsidRPr="00291BBC" w:rsidRDefault="008350E6" w:rsidP="008350E6">
      <w:pPr>
        <w:pStyle w:val="ListParagraph"/>
        <w:ind w:left="1080"/>
        <w:rPr>
          <w:rFonts w:ascii="Helvetica" w:hAnsi="Helvetica" w:cs="Helvetica"/>
          <w:sz w:val="24"/>
          <w:szCs w:val="24"/>
        </w:rPr>
      </w:pPr>
      <w:r w:rsidRPr="00291BBC">
        <w:rPr>
          <w:rFonts w:ascii="Helvetica" w:hAnsi="Helvetica" w:cs="Helvetica"/>
          <w:sz w:val="24"/>
          <w:szCs w:val="24"/>
        </w:rPr>
        <w:t xml:space="preserve">The Education and Skills Funding Agency (ESFA) requires academy trusts to prepare their financial statements according to UK Generally Accepted Accounting Practice (UK GAAP) and this assumption must be disclosed in the notes to the annual accounts under the heading of ‘accounting policies’. </w:t>
      </w:r>
      <w:r w:rsidR="00BA1703" w:rsidRPr="00291BBC">
        <w:rPr>
          <w:rFonts w:ascii="Helvetica" w:hAnsi="Helvetica" w:cs="Helvetica"/>
          <w:sz w:val="24"/>
          <w:szCs w:val="24"/>
        </w:rPr>
        <w:br/>
      </w:r>
    </w:p>
    <w:p w14:paraId="39845500" w14:textId="77777777" w:rsidR="008350E6" w:rsidRPr="00291BBC" w:rsidRDefault="008350E6" w:rsidP="008350E6">
      <w:pPr>
        <w:pStyle w:val="ListParagraph"/>
        <w:ind w:left="1080"/>
        <w:rPr>
          <w:rFonts w:ascii="Helvetica" w:hAnsi="Helvetica" w:cs="Helvetica"/>
          <w:sz w:val="24"/>
          <w:szCs w:val="24"/>
        </w:rPr>
      </w:pPr>
      <w:r w:rsidRPr="00291BBC">
        <w:rPr>
          <w:rFonts w:ascii="Helvetica" w:hAnsi="Helvetica" w:cs="Helvetica"/>
          <w:sz w:val="24"/>
          <w:szCs w:val="24"/>
        </w:rPr>
        <w:t>The accounting policies have also been written in line with the requirements of:</w:t>
      </w:r>
    </w:p>
    <w:p w14:paraId="24BDC4E2" w14:textId="0C9C8FE8" w:rsidR="008350E6" w:rsidRPr="00291BBC" w:rsidRDefault="008350E6" w:rsidP="008350E6">
      <w:pPr>
        <w:pStyle w:val="ListParagraph"/>
        <w:ind w:left="1080"/>
        <w:rPr>
          <w:rStyle w:val="Hyperlink"/>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w:t>
      </w:r>
      <w:hyperlink r:id="rId9" w:history="1">
        <w:r w:rsidR="002D79A6" w:rsidRPr="00291BBC">
          <w:rPr>
            <w:rStyle w:val="Hyperlink"/>
            <w:rFonts w:ascii="Helvetica" w:hAnsi="Helvetica" w:cs="Helvetica"/>
            <w:color w:val="0070C0"/>
            <w:sz w:val="24"/>
            <w:szCs w:val="24"/>
          </w:rPr>
          <w:t>The Academy</w:t>
        </w:r>
        <w:r w:rsidR="003274D9" w:rsidRPr="00291BBC">
          <w:rPr>
            <w:rStyle w:val="Hyperlink"/>
            <w:rFonts w:ascii="Helvetica" w:hAnsi="Helvetica" w:cs="Helvetica"/>
            <w:color w:val="0070C0"/>
            <w:sz w:val="24"/>
            <w:szCs w:val="24"/>
          </w:rPr>
          <w:t xml:space="preserve"> </w:t>
        </w:r>
        <w:r w:rsidR="002D79A6" w:rsidRPr="00291BBC">
          <w:rPr>
            <w:rStyle w:val="Hyperlink"/>
            <w:rFonts w:ascii="Helvetica" w:hAnsi="Helvetica" w:cs="Helvetica"/>
            <w:color w:val="0070C0"/>
            <w:sz w:val="24"/>
            <w:szCs w:val="24"/>
          </w:rPr>
          <w:t>Trust</w:t>
        </w:r>
        <w:r w:rsidRPr="00291BBC">
          <w:rPr>
            <w:rStyle w:val="Hyperlink"/>
            <w:rFonts w:ascii="Helvetica" w:hAnsi="Helvetica" w:cs="Helvetica"/>
            <w:color w:val="0070C0"/>
            <w:sz w:val="24"/>
            <w:szCs w:val="24"/>
          </w:rPr>
          <w:t xml:space="preserve"> Handbook</w:t>
        </w:r>
      </w:hyperlink>
      <w:r w:rsidRPr="00291BBC">
        <w:rPr>
          <w:rStyle w:val="Hyperlink"/>
          <w:rFonts w:ascii="Helvetica" w:hAnsi="Helvetica" w:cs="Helvetica"/>
          <w:color w:val="0070C0"/>
          <w:sz w:val="24"/>
          <w:szCs w:val="24"/>
        </w:rPr>
        <w:t xml:space="preserve"> </w:t>
      </w:r>
    </w:p>
    <w:p w14:paraId="1F36CA73" w14:textId="77777777" w:rsidR="008350E6" w:rsidRPr="00291BBC" w:rsidRDefault="008350E6" w:rsidP="008350E6">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w:t>
      </w:r>
      <w:hyperlink r:id="rId10" w:history="1">
        <w:r w:rsidRPr="00291BBC">
          <w:rPr>
            <w:rStyle w:val="Hyperlink"/>
            <w:rFonts w:ascii="Helvetica" w:hAnsi="Helvetica" w:cs="Helvetica"/>
            <w:sz w:val="24"/>
            <w:szCs w:val="24"/>
          </w:rPr>
          <w:t>The Academies Accounts Direction</w:t>
        </w:r>
      </w:hyperlink>
      <w:r w:rsidRPr="00291BBC">
        <w:rPr>
          <w:rFonts w:ascii="Helvetica" w:hAnsi="Helvetica" w:cs="Helvetica"/>
          <w:sz w:val="24"/>
          <w:szCs w:val="24"/>
        </w:rPr>
        <w:t xml:space="preserve"> </w:t>
      </w:r>
    </w:p>
    <w:p w14:paraId="14016809" w14:textId="77777777" w:rsidR="008350E6" w:rsidRPr="00291BBC" w:rsidRDefault="008350E6" w:rsidP="008350E6">
      <w:pPr>
        <w:pStyle w:val="ListParagraph"/>
        <w:ind w:left="1080"/>
        <w:rPr>
          <w:rFonts w:ascii="Helvetica" w:hAnsi="Helvetica" w:cs="Helvetica"/>
          <w:sz w:val="24"/>
          <w:szCs w:val="24"/>
        </w:rPr>
      </w:pPr>
    </w:p>
    <w:p w14:paraId="1500D4F9" w14:textId="176D16C6" w:rsidR="00FD0171" w:rsidRPr="00291BBC" w:rsidRDefault="008350E6" w:rsidP="008350E6">
      <w:pPr>
        <w:pStyle w:val="ListParagraph"/>
        <w:ind w:left="1080"/>
        <w:rPr>
          <w:rFonts w:ascii="Helvetica" w:hAnsi="Helvetica" w:cs="Helvetica"/>
          <w:sz w:val="24"/>
          <w:szCs w:val="24"/>
        </w:rPr>
      </w:pPr>
      <w:r w:rsidRPr="00291BBC">
        <w:rPr>
          <w:rFonts w:ascii="Helvetica" w:hAnsi="Helvetica" w:cs="Helvetica"/>
          <w:sz w:val="24"/>
          <w:szCs w:val="24"/>
        </w:rPr>
        <w:t xml:space="preserve">The </w:t>
      </w:r>
      <w:r w:rsidR="002D79A6" w:rsidRPr="00291BBC">
        <w:rPr>
          <w:rFonts w:ascii="Helvetica" w:hAnsi="Helvetica" w:cs="Helvetica"/>
          <w:sz w:val="24"/>
          <w:szCs w:val="24"/>
        </w:rPr>
        <w:t>Academies Accounts Direction 202</w:t>
      </w:r>
      <w:r w:rsidR="000E7CAC">
        <w:rPr>
          <w:rFonts w:ascii="Helvetica" w:hAnsi="Helvetica" w:cs="Helvetica"/>
          <w:sz w:val="24"/>
          <w:szCs w:val="24"/>
        </w:rPr>
        <w:t>3</w:t>
      </w:r>
      <w:r w:rsidRPr="00291BBC">
        <w:rPr>
          <w:rFonts w:ascii="Helvetica" w:hAnsi="Helvetica" w:cs="Helvetica"/>
          <w:sz w:val="24"/>
          <w:szCs w:val="24"/>
        </w:rPr>
        <w:t xml:space="preserve"> to 20</w:t>
      </w:r>
      <w:r w:rsidR="002D79A6" w:rsidRPr="00291BBC">
        <w:rPr>
          <w:rFonts w:ascii="Helvetica" w:hAnsi="Helvetica" w:cs="Helvetica"/>
          <w:sz w:val="24"/>
          <w:szCs w:val="24"/>
        </w:rPr>
        <w:t>2</w:t>
      </w:r>
      <w:r w:rsidR="000E7CAC">
        <w:rPr>
          <w:rFonts w:ascii="Helvetica" w:hAnsi="Helvetica" w:cs="Helvetica"/>
          <w:sz w:val="24"/>
          <w:szCs w:val="24"/>
        </w:rPr>
        <w:t>4</w:t>
      </w:r>
      <w:r w:rsidRPr="00291BBC">
        <w:rPr>
          <w:rFonts w:ascii="Helvetica" w:hAnsi="Helvetica" w:cs="Helvetica"/>
          <w:sz w:val="24"/>
          <w:szCs w:val="24"/>
        </w:rPr>
        <w:t xml:space="preserve"> is based on </w:t>
      </w:r>
      <w:hyperlink r:id="rId11" w:history="1">
        <w:r w:rsidRPr="00291BBC">
          <w:rPr>
            <w:rStyle w:val="Hyperlink"/>
            <w:rFonts w:ascii="Helvetica" w:hAnsi="Helvetica" w:cs="Helvetica"/>
            <w:sz w:val="24"/>
            <w:szCs w:val="24"/>
          </w:rPr>
          <w:t>Charities Statement of Recommended Practice (SORP) 2015</w:t>
        </w:r>
      </w:hyperlink>
      <w:r w:rsidRPr="00291BBC">
        <w:rPr>
          <w:rFonts w:ascii="Helvetica" w:hAnsi="Helvetica" w:cs="Helvetica"/>
          <w:sz w:val="24"/>
          <w:szCs w:val="24"/>
        </w:rPr>
        <w:t xml:space="preserve"> as amended by </w:t>
      </w:r>
      <w:hyperlink r:id="rId12" w:history="1">
        <w:r w:rsidRPr="00291BBC">
          <w:rPr>
            <w:rStyle w:val="Hyperlink"/>
            <w:rFonts w:ascii="Helvetica" w:hAnsi="Helvetica" w:cs="Helvetica"/>
            <w:sz w:val="24"/>
            <w:szCs w:val="24"/>
          </w:rPr>
          <w:t>Charities SORP (FRS 102) Update Bulletin 1</w:t>
        </w:r>
      </w:hyperlink>
      <w:r w:rsidRPr="00291BBC">
        <w:rPr>
          <w:rFonts w:ascii="Helvetica" w:hAnsi="Helvetica" w:cs="Helvetica"/>
          <w:sz w:val="24"/>
          <w:szCs w:val="24"/>
        </w:rPr>
        <w:t xml:space="preserve">, and </w:t>
      </w:r>
      <w:hyperlink r:id="rId13" w:history="1">
        <w:r w:rsidRPr="00291BBC">
          <w:rPr>
            <w:rStyle w:val="Hyperlink"/>
            <w:rFonts w:ascii="Helvetica" w:hAnsi="Helvetica" w:cs="Helvetica"/>
            <w:sz w:val="24"/>
            <w:szCs w:val="24"/>
          </w:rPr>
          <w:t>Financial Reporting Standard (FRS) 102</w:t>
        </w:r>
      </w:hyperlink>
      <w:r w:rsidRPr="00291BBC">
        <w:rPr>
          <w:rFonts w:ascii="Helvetica" w:hAnsi="Helvetica" w:cs="Helvetica"/>
          <w:sz w:val="24"/>
          <w:szCs w:val="24"/>
        </w:rPr>
        <w:t xml:space="preserve">. </w:t>
      </w:r>
    </w:p>
    <w:p w14:paraId="5BF714AB" w14:textId="77777777" w:rsidR="005F4EDD" w:rsidRPr="00291BBC" w:rsidRDefault="005F4EDD" w:rsidP="008350E6">
      <w:pPr>
        <w:pStyle w:val="ListParagraph"/>
        <w:ind w:left="1080"/>
        <w:rPr>
          <w:rFonts w:ascii="Helvetica" w:hAnsi="Helvetica" w:cs="Helvetica"/>
          <w:sz w:val="24"/>
          <w:szCs w:val="24"/>
        </w:rPr>
      </w:pPr>
    </w:p>
    <w:p w14:paraId="30E0D783" w14:textId="77777777" w:rsidR="00FD0171" w:rsidRPr="00291BBC" w:rsidRDefault="008350E6" w:rsidP="008350E6">
      <w:pPr>
        <w:pStyle w:val="ListParagraph"/>
        <w:ind w:left="1080"/>
        <w:rPr>
          <w:rFonts w:ascii="Helvetica" w:hAnsi="Helvetica" w:cs="Helvetica"/>
          <w:sz w:val="24"/>
          <w:szCs w:val="24"/>
        </w:rPr>
      </w:pPr>
      <w:r w:rsidRPr="00291BBC">
        <w:rPr>
          <w:rFonts w:ascii="Helvetica" w:hAnsi="Helvetica" w:cs="Helvetica"/>
          <w:sz w:val="24"/>
          <w:szCs w:val="24"/>
        </w:rPr>
        <w:t xml:space="preserve">A summary of the principal accounting policies, which are applied consistently, except where noted, is set out below. </w:t>
      </w:r>
    </w:p>
    <w:p w14:paraId="3CB88BF0" w14:textId="77777777" w:rsidR="00FD0171" w:rsidRPr="00291BBC" w:rsidRDefault="00FD0171" w:rsidP="008350E6">
      <w:pPr>
        <w:pStyle w:val="ListParagraph"/>
        <w:ind w:left="1080"/>
        <w:rPr>
          <w:rFonts w:ascii="Helvetica" w:hAnsi="Helvetica" w:cs="Helvetica"/>
          <w:sz w:val="24"/>
          <w:szCs w:val="24"/>
        </w:rPr>
      </w:pPr>
    </w:p>
    <w:p w14:paraId="0EDD5DBE" w14:textId="77777777"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Roles and responsibilities</w:t>
      </w:r>
    </w:p>
    <w:p w14:paraId="5D61F68C" w14:textId="5CC66507" w:rsidR="00FD0171" w:rsidRPr="00291BBC" w:rsidRDefault="008350E6" w:rsidP="00FD0171">
      <w:pPr>
        <w:pStyle w:val="ListParagraph"/>
        <w:ind w:left="1080"/>
        <w:rPr>
          <w:rFonts w:ascii="Century Gothic" w:hAnsi="Century Gothic" w:cs="Helvetica"/>
          <w:sz w:val="24"/>
          <w:szCs w:val="24"/>
        </w:rPr>
      </w:pPr>
      <w:r w:rsidRPr="00291BBC">
        <w:rPr>
          <w:rFonts w:ascii="Century Gothic" w:hAnsi="Century Gothic" w:cs="Helvetica"/>
          <w:sz w:val="26"/>
          <w:szCs w:val="26"/>
        </w:rPr>
        <w:t xml:space="preserve"> </w:t>
      </w:r>
      <w:r w:rsidRPr="00291BBC">
        <w:rPr>
          <w:rFonts w:ascii="Century Gothic" w:hAnsi="Century Gothic" w:cs="Helvetica"/>
          <w:b/>
          <w:sz w:val="24"/>
          <w:szCs w:val="24"/>
        </w:rPr>
        <w:t>Academy trustees</w:t>
      </w:r>
      <w:r w:rsidRPr="00291BBC">
        <w:rPr>
          <w:rFonts w:ascii="Century Gothic" w:hAnsi="Century Gothic" w:cs="Helvetica"/>
          <w:sz w:val="24"/>
          <w:szCs w:val="24"/>
        </w:rPr>
        <w:t xml:space="preserve"> </w:t>
      </w:r>
    </w:p>
    <w:p w14:paraId="421EA88A" w14:textId="77777777" w:rsidR="00291BBC" w:rsidRPr="00291BBC" w:rsidRDefault="00291BBC" w:rsidP="00FD0171">
      <w:pPr>
        <w:pStyle w:val="ListParagraph"/>
        <w:ind w:left="1080"/>
        <w:rPr>
          <w:rFonts w:ascii="Helvetica" w:hAnsi="Helvetica" w:cs="Helvetica"/>
          <w:sz w:val="24"/>
          <w:szCs w:val="24"/>
        </w:rPr>
      </w:pPr>
    </w:p>
    <w:p w14:paraId="123C3F5D"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w:t>
      </w:r>
      <w:r w:rsidR="00AD38A9" w:rsidRPr="00291BBC">
        <w:rPr>
          <w:rFonts w:ascii="Helvetica" w:hAnsi="Helvetica" w:cs="Helvetica"/>
          <w:sz w:val="24"/>
          <w:szCs w:val="24"/>
        </w:rPr>
        <w:t xml:space="preserve">Board </w:t>
      </w:r>
      <w:r w:rsidRPr="00291BBC">
        <w:rPr>
          <w:rFonts w:ascii="Helvetica" w:hAnsi="Helvetica" w:cs="Helvetica"/>
          <w:sz w:val="24"/>
          <w:szCs w:val="24"/>
        </w:rPr>
        <w:t xml:space="preserve">of </w:t>
      </w:r>
      <w:r w:rsidR="00AD38A9" w:rsidRPr="00291BBC">
        <w:rPr>
          <w:rFonts w:ascii="Helvetica" w:hAnsi="Helvetica" w:cs="Helvetica"/>
          <w:sz w:val="24"/>
          <w:szCs w:val="24"/>
        </w:rPr>
        <w:t xml:space="preserve">Directors </w:t>
      </w:r>
      <w:r w:rsidRPr="00291BBC">
        <w:rPr>
          <w:rFonts w:ascii="Helvetica" w:hAnsi="Helvetica" w:cs="Helvetica"/>
          <w:sz w:val="24"/>
          <w:szCs w:val="24"/>
        </w:rPr>
        <w:t xml:space="preserve">is required to approve the trust’s accounting policies, which are incorporated within the annual report and accounts. </w:t>
      </w:r>
    </w:p>
    <w:p w14:paraId="2C5798D8" w14:textId="3BB3C5C4"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As per the Academies Accounts Direction 20</w:t>
      </w:r>
      <w:r w:rsidR="002D79A6" w:rsidRPr="00291BBC">
        <w:rPr>
          <w:rFonts w:ascii="Helvetica" w:hAnsi="Helvetica" w:cs="Helvetica"/>
          <w:sz w:val="24"/>
          <w:szCs w:val="24"/>
        </w:rPr>
        <w:t>2</w:t>
      </w:r>
      <w:r w:rsidR="000E7CAC">
        <w:rPr>
          <w:rFonts w:ascii="Helvetica" w:hAnsi="Helvetica" w:cs="Helvetica"/>
          <w:sz w:val="24"/>
          <w:szCs w:val="24"/>
        </w:rPr>
        <w:t>3</w:t>
      </w:r>
      <w:r w:rsidRPr="00291BBC">
        <w:rPr>
          <w:rFonts w:ascii="Helvetica" w:hAnsi="Helvetica" w:cs="Helvetica"/>
          <w:sz w:val="24"/>
          <w:szCs w:val="24"/>
        </w:rPr>
        <w:t xml:space="preserve"> to 20</w:t>
      </w:r>
      <w:r w:rsidR="002D79A6" w:rsidRPr="00291BBC">
        <w:rPr>
          <w:rFonts w:ascii="Helvetica" w:hAnsi="Helvetica" w:cs="Helvetica"/>
          <w:sz w:val="24"/>
          <w:szCs w:val="24"/>
        </w:rPr>
        <w:t>2</w:t>
      </w:r>
      <w:r w:rsidR="000E7CAC">
        <w:rPr>
          <w:rFonts w:ascii="Helvetica" w:hAnsi="Helvetica" w:cs="Helvetica"/>
          <w:sz w:val="24"/>
          <w:szCs w:val="24"/>
        </w:rPr>
        <w:t>4</w:t>
      </w:r>
      <w:r w:rsidRPr="00291BBC">
        <w:rPr>
          <w:rFonts w:ascii="Helvetica" w:hAnsi="Helvetica" w:cs="Helvetica"/>
          <w:sz w:val="24"/>
          <w:szCs w:val="24"/>
        </w:rPr>
        <w:t xml:space="preserve">, the </w:t>
      </w:r>
      <w:r w:rsidR="005F4EDD" w:rsidRPr="00291BBC">
        <w:rPr>
          <w:rFonts w:ascii="Helvetica" w:hAnsi="Helvetica" w:cs="Helvetica"/>
          <w:sz w:val="24"/>
          <w:szCs w:val="24"/>
        </w:rPr>
        <w:t xml:space="preserve">Directors </w:t>
      </w:r>
      <w:r w:rsidRPr="00291BBC">
        <w:rPr>
          <w:rFonts w:ascii="Helvetica" w:hAnsi="Helvetica" w:cs="Helvetica"/>
          <w:sz w:val="24"/>
          <w:szCs w:val="24"/>
        </w:rPr>
        <w:t xml:space="preserve">also review these policies regularly, and only implement new policies where: </w:t>
      </w:r>
    </w:p>
    <w:p w14:paraId="378F69F1"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This is required by FRS 102; or </w:t>
      </w:r>
    </w:p>
    <w:p w14:paraId="13E0035E"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This is judged to provide reliable and more appropriate and relevant information about the effect of transactions, other events or conditions that affect the financial position, performance or </w:t>
      </w:r>
      <w:r w:rsidR="005F4EDD" w:rsidRPr="00291BBC">
        <w:rPr>
          <w:rFonts w:ascii="Helvetica" w:hAnsi="Helvetica" w:cs="Helvetica"/>
          <w:sz w:val="24"/>
          <w:szCs w:val="24"/>
        </w:rPr>
        <w:t>cash flows of the academy trust.</w:t>
      </w:r>
    </w:p>
    <w:p w14:paraId="13EDE533" w14:textId="77777777" w:rsidR="005F4EDD" w:rsidRPr="00291BBC" w:rsidRDefault="005F4EDD" w:rsidP="00FD0171">
      <w:pPr>
        <w:pStyle w:val="ListParagraph"/>
        <w:ind w:left="1080"/>
        <w:rPr>
          <w:rFonts w:ascii="Helvetica" w:hAnsi="Helvetica" w:cs="Helvetica"/>
          <w:sz w:val="24"/>
          <w:szCs w:val="24"/>
        </w:rPr>
      </w:pPr>
    </w:p>
    <w:p w14:paraId="287E83E9"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w:t>
      </w:r>
      <w:r w:rsidR="00AD38A9" w:rsidRPr="00291BBC">
        <w:rPr>
          <w:rFonts w:ascii="Helvetica" w:hAnsi="Helvetica" w:cs="Helvetica"/>
          <w:sz w:val="24"/>
          <w:szCs w:val="24"/>
        </w:rPr>
        <w:t xml:space="preserve">Board </w:t>
      </w:r>
      <w:r w:rsidRPr="00291BBC">
        <w:rPr>
          <w:rFonts w:ascii="Helvetica" w:hAnsi="Helvetica" w:cs="Helvetica"/>
          <w:sz w:val="24"/>
          <w:szCs w:val="24"/>
        </w:rPr>
        <w:t xml:space="preserve">of </w:t>
      </w:r>
      <w:r w:rsidR="00AD38A9" w:rsidRPr="00291BBC">
        <w:rPr>
          <w:rFonts w:ascii="Helvetica" w:hAnsi="Helvetica" w:cs="Helvetica"/>
          <w:sz w:val="24"/>
          <w:szCs w:val="24"/>
        </w:rPr>
        <w:t xml:space="preserve">Directors </w:t>
      </w:r>
      <w:r w:rsidRPr="00291BBC">
        <w:rPr>
          <w:rFonts w:ascii="Helvetica" w:hAnsi="Helvetica" w:cs="Helvetica"/>
          <w:sz w:val="24"/>
          <w:szCs w:val="24"/>
        </w:rPr>
        <w:t xml:space="preserve">ensures that the trust’s accounting policies are being applied consistently across the academies within the trust. </w:t>
      </w:r>
    </w:p>
    <w:p w14:paraId="189745D5" w14:textId="77777777" w:rsidR="00207202" w:rsidRPr="00291BBC" w:rsidRDefault="00207202" w:rsidP="00207202">
      <w:pPr>
        <w:pStyle w:val="ListParagraph"/>
        <w:ind w:left="1080"/>
        <w:rPr>
          <w:rFonts w:ascii="Helvetica" w:hAnsi="Helvetica" w:cs="Helvetica"/>
          <w:sz w:val="24"/>
          <w:szCs w:val="24"/>
        </w:rPr>
      </w:pPr>
    </w:p>
    <w:p w14:paraId="7E5EBB17" w14:textId="58147EF2"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Basis of preparation </w:t>
      </w:r>
    </w:p>
    <w:p w14:paraId="2556FB35" w14:textId="77777777" w:rsidR="00291BBC" w:rsidRPr="00291BBC" w:rsidRDefault="00291BBC" w:rsidP="00291BBC">
      <w:pPr>
        <w:pStyle w:val="ListParagraph"/>
        <w:ind w:left="1080"/>
        <w:rPr>
          <w:rFonts w:ascii="Helvetica" w:hAnsi="Helvetica" w:cs="Helvetica"/>
          <w:b/>
          <w:sz w:val="24"/>
          <w:szCs w:val="24"/>
        </w:rPr>
      </w:pPr>
    </w:p>
    <w:p w14:paraId="133C62D6"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financial statements are prepared under the </w:t>
      </w:r>
      <w:proofErr w:type="gramStart"/>
      <w:r w:rsidRPr="00291BBC">
        <w:rPr>
          <w:rFonts w:ascii="Helvetica" w:hAnsi="Helvetica" w:cs="Helvetica"/>
          <w:sz w:val="24"/>
          <w:szCs w:val="24"/>
        </w:rPr>
        <w:t>accruals</w:t>
      </w:r>
      <w:proofErr w:type="gramEnd"/>
      <w:r w:rsidRPr="00291BBC">
        <w:rPr>
          <w:rFonts w:ascii="Helvetica" w:hAnsi="Helvetica" w:cs="Helvetica"/>
          <w:sz w:val="24"/>
          <w:szCs w:val="24"/>
        </w:rPr>
        <w:t xml:space="preserve"> convention using historical cost as th</w:t>
      </w:r>
      <w:r w:rsidR="00FD0171" w:rsidRPr="00291BBC">
        <w:rPr>
          <w:rFonts w:ascii="Helvetica" w:hAnsi="Helvetica" w:cs="Helvetica"/>
          <w:sz w:val="24"/>
          <w:szCs w:val="24"/>
        </w:rPr>
        <w:t xml:space="preserve">e basis for asset evaluation. </w:t>
      </w:r>
    </w:p>
    <w:p w14:paraId="0EA85A6D" w14:textId="77777777" w:rsidR="00B33431" w:rsidRPr="00291BBC" w:rsidRDefault="00B33431" w:rsidP="00FD0171">
      <w:pPr>
        <w:pStyle w:val="ListParagraph"/>
        <w:ind w:left="1080"/>
        <w:rPr>
          <w:rFonts w:ascii="Helvetica" w:hAnsi="Helvetica" w:cs="Helvetica"/>
          <w:sz w:val="24"/>
          <w:szCs w:val="24"/>
        </w:rPr>
      </w:pPr>
    </w:p>
    <w:p w14:paraId="6BA1C14A" w14:textId="77777777" w:rsidR="00B3343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lastRenderedPageBreak/>
        <w:t xml:space="preserve">In accordance with requirements, the financial statements reflect that the trust is a public benefit entity and contain a balance sheet, a statement of financial activities and explanatory notes. </w:t>
      </w:r>
    </w:p>
    <w:p w14:paraId="37812ED7" w14:textId="77777777" w:rsidR="00B33431" w:rsidRPr="00291BBC" w:rsidRDefault="00B33431" w:rsidP="00FD0171">
      <w:pPr>
        <w:pStyle w:val="ListParagraph"/>
        <w:ind w:left="1080"/>
        <w:rPr>
          <w:rFonts w:ascii="Helvetica" w:hAnsi="Helvetica" w:cs="Helvetica"/>
          <w:sz w:val="24"/>
          <w:szCs w:val="24"/>
        </w:rPr>
      </w:pPr>
    </w:p>
    <w:p w14:paraId="71EECACA"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t xml:space="preserve">The accounts are prepared and audited in line with: </w:t>
      </w:r>
    </w:p>
    <w:p w14:paraId="70E69BAB"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Financial Reporting Standard (FRS) 102 </w:t>
      </w:r>
    </w:p>
    <w:p w14:paraId="59EEEBBA"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The current regulations and requirements of the ESFA, including the Academies Accounts Direction </w:t>
      </w:r>
    </w:p>
    <w:p w14:paraId="3DD61B1B"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The Charities Statement of Recommended Practice (SORP) 2015 </w:t>
      </w:r>
    </w:p>
    <w:p w14:paraId="59DAC129"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Applicable charity and company law </w:t>
      </w:r>
    </w:p>
    <w:p w14:paraId="38312061" w14:textId="77777777" w:rsidR="00FD0171" w:rsidRPr="00291BBC" w:rsidRDefault="00FD0171" w:rsidP="00FD0171">
      <w:pPr>
        <w:pStyle w:val="ListParagraph"/>
        <w:ind w:left="1080"/>
        <w:rPr>
          <w:rFonts w:ascii="Helvetica" w:hAnsi="Helvetica" w:cs="Helvetica"/>
          <w:sz w:val="24"/>
          <w:szCs w:val="24"/>
        </w:rPr>
      </w:pPr>
    </w:p>
    <w:p w14:paraId="4FB404F3" w14:textId="3F2F85D6" w:rsidR="00FD0171" w:rsidRPr="00291BBC" w:rsidRDefault="008350E6" w:rsidP="00FD0171">
      <w:pPr>
        <w:pStyle w:val="ListParagraph"/>
        <w:numPr>
          <w:ilvl w:val="0"/>
          <w:numId w:val="3"/>
        </w:numPr>
        <w:rPr>
          <w:rFonts w:ascii="Century Gothic" w:hAnsi="Century Gothic" w:cs="Helvetica"/>
          <w:b/>
          <w:sz w:val="26"/>
          <w:szCs w:val="26"/>
        </w:rPr>
      </w:pPr>
      <w:proofErr w:type="gramStart"/>
      <w:r w:rsidRPr="00291BBC">
        <w:rPr>
          <w:rFonts w:ascii="Century Gothic" w:hAnsi="Century Gothic" w:cs="Helvetica"/>
          <w:b/>
          <w:sz w:val="26"/>
          <w:szCs w:val="26"/>
        </w:rPr>
        <w:t>Accruals</w:t>
      </w:r>
      <w:proofErr w:type="gramEnd"/>
      <w:r w:rsidRPr="00291BBC">
        <w:rPr>
          <w:rFonts w:ascii="Century Gothic" w:hAnsi="Century Gothic" w:cs="Helvetica"/>
          <w:b/>
          <w:sz w:val="26"/>
          <w:szCs w:val="26"/>
        </w:rPr>
        <w:t xml:space="preserve"> concept </w:t>
      </w:r>
    </w:p>
    <w:p w14:paraId="1D2E38C3" w14:textId="77777777" w:rsidR="00291BBC" w:rsidRPr="00291BBC" w:rsidRDefault="00291BBC" w:rsidP="00291BBC">
      <w:pPr>
        <w:pStyle w:val="ListParagraph"/>
        <w:ind w:left="1080"/>
        <w:rPr>
          <w:rFonts w:ascii="Helvetica" w:hAnsi="Helvetica" w:cs="Helvetica"/>
          <w:b/>
          <w:sz w:val="24"/>
          <w:szCs w:val="24"/>
        </w:rPr>
      </w:pPr>
    </w:p>
    <w:p w14:paraId="482EC4B4"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All income and expenditure for the period to which the accounts relate are included in those accounts. </w:t>
      </w:r>
    </w:p>
    <w:p w14:paraId="453D12D8" w14:textId="77777777" w:rsidR="00B33431" w:rsidRPr="00291BBC" w:rsidRDefault="00B33431" w:rsidP="00291BBC">
      <w:pPr>
        <w:pStyle w:val="ListParagraph"/>
        <w:ind w:left="1080"/>
        <w:jc w:val="both"/>
        <w:rPr>
          <w:rFonts w:ascii="Helvetica" w:hAnsi="Helvetica" w:cs="Helvetica"/>
          <w:sz w:val="24"/>
          <w:szCs w:val="24"/>
        </w:rPr>
      </w:pPr>
    </w:p>
    <w:p w14:paraId="5308C00F"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At year end, a de-minimis of £100 is applied for both sundry creditors and sundry debtors. </w:t>
      </w:r>
    </w:p>
    <w:p w14:paraId="11BCE641" w14:textId="77777777" w:rsidR="00B33431" w:rsidRPr="00291BBC" w:rsidRDefault="00B33431" w:rsidP="00291BBC">
      <w:pPr>
        <w:pStyle w:val="ListParagraph"/>
        <w:ind w:left="1080"/>
        <w:jc w:val="both"/>
        <w:rPr>
          <w:rFonts w:ascii="Helvetica" w:hAnsi="Helvetica" w:cs="Helvetica"/>
          <w:sz w:val="24"/>
          <w:szCs w:val="24"/>
        </w:rPr>
      </w:pPr>
    </w:p>
    <w:p w14:paraId="16DA072F" w14:textId="77777777" w:rsidR="00B3343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Where an individual invoice or receipt is less than £100 then no provision is made. This is to minimise the number of sundry transactions. </w:t>
      </w:r>
    </w:p>
    <w:p w14:paraId="4552590F" w14:textId="77777777" w:rsidR="00B33431" w:rsidRPr="00291BBC" w:rsidRDefault="00B33431" w:rsidP="00291BBC">
      <w:pPr>
        <w:pStyle w:val="ListParagraph"/>
        <w:ind w:left="1080"/>
        <w:jc w:val="both"/>
        <w:rPr>
          <w:rFonts w:ascii="Helvetica" w:hAnsi="Helvetica" w:cs="Helvetica"/>
          <w:sz w:val="24"/>
          <w:szCs w:val="24"/>
        </w:rPr>
      </w:pPr>
    </w:p>
    <w:p w14:paraId="032F7D21"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In preparation for year-end an exercise is completed to ensure all invoices and debts are settled to minimise the necessity for provisions. </w:t>
      </w:r>
    </w:p>
    <w:p w14:paraId="4FE004F3" w14:textId="77777777" w:rsidR="00FD0171" w:rsidRPr="00291BBC" w:rsidRDefault="00FD0171" w:rsidP="00FD0171">
      <w:pPr>
        <w:pStyle w:val="ListParagraph"/>
        <w:ind w:left="1080"/>
        <w:rPr>
          <w:rFonts w:ascii="Helvetica" w:hAnsi="Helvetica" w:cs="Helvetica"/>
          <w:sz w:val="24"/>
          <w:szCs w:val="24"/>
        </w:rPr>
      </w:pPr>
    </w:p>
    <w:p w14:paraId="602AAD54" w14:textId="4A03D82B"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Liabilities </w:t>
      </w:r>
    </w:p>
    <w:p w14:paraId="1088CF87" w14:textId="77777777" w:rsidR="00291BBC" w:rsidRPr="00291BBC" w:rsidRDefault="00291BBC" w:rsidP="00291BBC">
      <w:pPr>
        <w:pStyle w:val="ListParagraph"/>
        <w:ind w:left="1080"/>
        <w:rPr>
          <w:rFonts w:ascii="Helvetica" w:hAnsi="Helvetica" w:cs="Helvetica"/>
          <w:b/>
          <w:sz w:val="24"/>
          <w:szCs w:val="24"/>
        </w:rPr>
      </w:pPr>
    </w:p>
    <w:p w14:paraId="60485232"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Liabilities are shown in the balance sheet where goods or services have been received but the payment has not been made during that period. Subject to the de-minimis value agreed, the value is that identified on the order or invoice or other contractual documentation.</w:t>
      </w:r>
    </w:p>
    <w:p w14:paraId="51862A78" w14:textId="77777777" w:rsidR="00FD0171" w:rsidRPr="00291BBC" w:rsidRDefault="00FD0171" w:rsidP="00FD0171">
      <w:pPr>
        <w:pStyle w:val="ListParagraph"/>
        <w:ind w:left="1080"/>
        <w:rPr>
          <w:rFonts w:ascii="Helvetica" w:hAnsi="Helvetica" w:cs="Helvetica"/>
          <w:sz w:val="24"/>
          <w:szCs w:val="24"/>
        </w:rPr>
      </w:pPr>
    </w:p>
    <w:p w14:paraId="2318236C" w14:textId="5272FD88"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Provisions </w:t>
      </w:r>
    </w:p>
    <w:p w14:paraId="20752838" w14:textId="77777777" w:rsidR="00291BBC" w:rsidRPr="00291BBC" w:rsidRDefault="00291BBC" w:rsidP="00291BBC">
      <w:pPr>
        <w:pStyle w:val="ListParagraph"/>
        <w:ind w:left="1080"/>
        <w:rPr>
          <w:rFonts w:ascii="Helvetica" w:hAnsi="Helvetica" w:cs="Helvetica"/>
          <w:b/>
          <w:sz w:val="24"/>
          <w:szCs w:val="24"/>
        </w:rPr>
      </w:pPr>
    </w:p>
    <w:p w14:paraId="7013BA4D"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Provisions are shown in the balance sheet for obligations such as pension contributions, tax liabilities or other payments to similar funds or bodies where the payment has been deferred. </w:t>
      </w:r>
    </w:p>
    <w:p w14:paraId="3FDF1488" w14:textId="77777777" w:rsidR="00B33431" w:rsidRPr="00291BBC" w:rsidRDefault="00B33431" w:rsidP="00FD0171">
      <w:pPr>
        <w:pStyle w:val="ListParagraph"/>
        <w:ind w:left="1080"/>
        <w:rPr>
          <w:rFonts w:ascii="Helvetica" w:hAnsi="Helvetica" w:cs="Helvetica"/>
          <w:sz w:val="24"/>
          <w:szCs w:val="24"/>
        </w:rPr>
      </w:pPr>
    </w:p>
    <w:p w14:paraId="6C238949" w14:textId="0F6AA160"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Financial instruments </w:t>
      </w:r>
    </w:p>
    <w:p w14:paraId="08BD8A96" w14:textId="77777777" w:rsidR="00291BBC" w:rsidRPr="00291BBC" w:rsidRDefault="00291BBC" w:rsidP="00291BBC">
      <w:pPr>
        <w:pStyle w:val="ListParagraph"/>
        <w:ind w:left="1080"/>
        <w:rPr>
          <w:rFonts w:ascii="Helvetica" w:hAnsi="Helvetica" w:cs="Helvetica"/>
          <w:b/>
          <w:sz w:val="24"/>
          <w:szCs w:val="24"/>
        </w:rPr>
      </w:pPr>
    </w:p>
    <w:p w14:paraId="2A56943B"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academy trust only holds basic financial instruments as defined in FRS 102. </w:t>
      </w:r>
    </w:p>
    <w:p w14:paraId="568165B0" w14:textId="77777777" w:rsidR="00B33431" w:rsidRPr="00291BBC" w:rsidRDefault="00B33431" w:rsidP="00291BBC">
      <w:pPr>
        <w:pStyle w:val="ListParagraph"/>
        <w:ind w:left="1080"/>
        <w:jc w:val="both"/>
        <w:rPr>
          <w:rFonts w:ascii="Helvetica" w:hAnsi="Helvetica" w:cs="Helvetica"/>
          <w:sz w:val="24"/>
          <w:szCs w:val="24"/>
        </w:rPr>
      </w:pPr>
    </w:p>
    <w:p w14:paraId="3D26EB00"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financial assets and financial liabilities of the academy trust are as follows: </w:t>
      </w:r>
    </w:p>
    <w:p w14:paraId="19124594"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Cash at bank, including all current and deposit accounts belonging to the trust </w:t>
      </w:r>
    </w:p>
    <w:p w14:paraId="6D040BCA"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Cash in hand, including any petty cash </w:t>
      </w:r>
      <w:proofErr w:type="spellStart"/>
      <w:r w:rsidRPr="00291BBC">
        <w:rPr>
          <w:rFonts w:ascii="Helvetica" w:hAnsi="Helvetica" w:cs="Helvetica"/>
          <w:sz w:val="24"/>
          <w:szCs w:val="24"/>
        </w:rPr>
        <w:t>imprest</w:t>
      </w:r>
      <w:proofErr w:type="spellEnd"/>
      <w:r w:rsidRPr="00291BBC">
        <w:rPr>
          <w:rFonts w:ascii="Helvetica" w:hAnsi="Helvetica" w:cs="Helvetica"/>
          <w:sz w:val="24"/>
          <w:szCs w:val="24"/>
        </w:rPr>
        <w:t xml:space="preserve"> an</w:t>
      </w:r>
      <w:r w:rsidR="00DF4D78" w:rsidRPr="00291BBC">
        <w:rPr>
          <w:rFonts w:ascii="Helvetica" w:hAnsi="Helvetica" w:cs="Helvetica"/>
          <w:sz w:val="24"/>
          <w:szCs w:val="24"/>
        </w:rPr>
        <w:t>d monies not yet banked</w:t>
      </w:r>
    </w:p>
    <w:p w14:paraId="4F453A18"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Financial debtors, including all monies owing to the trust </w:t>
      </w:r>
    </w:p>
    <w:p w14:paraId="2DD29259"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Financial liabilities, including all current commitments of the trust in terms of unpaid invoices and debts </w:t>
      </w:r>
    </w:p>
    <w:p w14:paraId="02451BD4" w14:textId="77777777" w:rsidR="00FD0171" w:rsidRPr="00291BBC" w:rsidRDefault="00FD0171" w:rsidP="00FD0171">
      <w:pPr>
        <w:pStyle w:val="ListParagraph"/>
        <w:ind w:left="1080"/>
        <w:rPr>
          <w:rFonts w:ascii="Helvetica" w:hAnsi="Helvetica" w:cs="Helvetica"/>
          <w:sz w:val="24"/>
          <w:szCs w:val="24"/>
        </w:rPr>
      </w:pPr>
    </w:p>
    <w:p w14:paraId="30495009" w14:textId="464CC4A2" w:rsidR="00FD0171" w:rsidRPr="00291BBC" w:rsidRDefault="008350E6"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Historical cost convention </w:t>
      </w:r>
    </w:p>
    <w:p w14:paraId="0A206315" w14:textId="77777777" w:rsidR="00291BBC" w:rsidRPr="00291BBC" w:rsidRDefault="00291BBC" w:rsidP="00291BBC">
      <w:pPr>
        <w:pStyle w:val="ListParagraph"/>
        <w:ind w:left="1080"/>
        <w:rPr>
          <w:rFonts w:ascii="Helvetica" w:hAnsi="Helvetica" w:cs="Helvetica"/>
          <w:b/>
          <w:sz w:val="24"/>
          <w:szCs w:val="24"/>
        </w:rPr>
      </w:pPr>
    </w:p>
    <w:p w14:paraId="07902FB5" w14:textId="77777777" w:rsidR="00FD0171" w:rsidRPr="00291BBC" w:rsidRDefault="008350E6" w:rsidP="00FD0171">
      <w:pPr>
        <w:pStyle w:val="ListParagraph"/>
        <w:ind w:left="1080"/>
        <w:rPr>
          <w:rFonts w:ascii="Helvetica" w:hAnsi="Helvetica" w:cs="Helvetica"/>
          <w:sz w:val="24"/>
          <w:szCs w:val="24"/>
        </w:rPr>
      </w:pPr>
      <w:r w:rsidRPr="00291BBC">
        <w:rPr>
          <w:rFonts w:ascii="Helvetica" w:hAnsi="Helvetica" w:cs="Helvetica"/>
          <w:sz w:val="24"/>
          <w:szCs w:val="24"/>
        </w:rPr>
        <w:t xml:space="preserve">The revenue, costs, and any assets bought by the trust, are recognised in the accounts at the original cost regardless of present value. </w:t>
      </w:r>
    </w:p>
    <w:p w14:paraId="4182F358" w14:textId="77777777" w:rsidR="00FD0171" w:rsidRPr="00291BBC" w:rsidRDefault="00FD0171" w:rsidP="00FD0171">
      <w:pPr>
        <w:pStyle w:val="ListParagraph"/>
        <w:ind w:left="1080"/>
        <w:rPr>
          <w:rFonts w:ascii="Helvetica" w:hAnsi="Helvetica" w:cs="Helvetica"/>
          <w:sz w:val="24"/>
          <w:szCs w:val="24"/>
        </w:rPr>
      </w:pPr>
    </w:p>
    <w:p w14:paraId="57BE4079" w14:textId="22F31957" w:rsidR="00FD0171" w:rsidRPr="00291BBC" w:rsidRDefault="008350E6" w:rsidP="00291BBC">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Going concern </w:t>
      </w:r>
    </w:p>
    <w:p w14:paraId="631FE3C3" w14:textId="77777777" w:rsidR="00291BBC" w:rsidRPr="00291BBC" w:rsidRDefault="00291BBC" w:rsidP="00291BBC">
      <w:pPr>
        <w:pStyle w:val="ListParagraph"/>
        <w:ind w:left="1080"/>
        <w:rPr>
          <w:rFonts w:ascii="Helvetica" w:hAnsi="Helvetica" w:cs="Helvetica"/>
          <w:b/>
          <w:sz w:val="24"/>
          <w:szCs w:val="24"/>
        </w:rPr>
      </w:pPr>
    </w:p>
    <w:p w14:paraId="38BC4311" w14:textId="77777777" w:rsidR="00B3343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accounts are prepared on the assumption that the trust will continue to function in the future and is therefore a going concern. The </w:t>
      </w:r>
      <w:r w:rsidR="00DF4D78" w:rsidRPr="00291BBC">
        <w:rPr>
          <w:rFonts w:ascii="Helvetica" w:hAnsi="Helvetica" w:cs="Helvetica"/>
          <w:sz w:val="24"/>
          <w:szCs w:val="24"/>
        </w:rPr>
        <w:t xml:space="preserve">Directors </w:t>
      </w:r>
      <w:r w:rsidRPr="00291BBC">
        <w:rPr>
          <w:rFonts w:ascii="Helvetica" w:hAnsi="Helvetica" w:cs="Helvetica"/>
          <w:sz w:val="24"/>
          <w:szCs w:val="24"/>
        </w:rPr>
        <w:t xml:space="preserve">will assess if there are any material uncertainties related to events or conditions that may cast significant doubt on the ability of the trust to continue as a going concern. </w:t>
      </w:r>
    </w:p>
    <w:p w14:paraId="2965A63D" w14:textId="77777777" w:rsidR="00B33431" w:rsidRPr="00291BBC" w:rsidRDefault="00B33431" w:rsidP="00FD0171">
      <w:pPr>
        <w:pStyle w:val="ListParagraph"/>
        <w:ind w:left="1080"/>
        <w:rPr>
          <w:rFonts w:ascii="Helvetica" w:hAnsi="Helvetica" w:cs="Helvetica"/>
          <w:sz w:val="24"/>
          <w:szCs w:val="24"/>
        </w:rPr>
      </w:pPr>
    </w:p>
    <w:p w14:paraId="3BA73B71" w14:textId="77777777" w:rsidR="00FD017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w:t>
      </w:r>
      <w:r w:rsidR="00DF4D78" w:rsidRPr="00291BBC">
        <w:rPr>
          <w:rFonts w:ascii="Helvetica" w:hAnsi="Helvetica" w:cs="Helvetica"/>
          <w:sz w:val="24"/>
          <w:szCs w:val="24"/>
        </w:rPr>
        <w:t xml:space="preserve">Directors </w:t>
      </w:r>
      <w:r w:rsidRPr="00291BBC">
        <w:rPr>
          <w:rFonts w:ascii="Helvetica" w:hAnsi="Helvetica" w:cs="Helvetica"/>
          <w:sz w:val="24"/>
          <w:szCs w:val="24"/>
        </w:rPr>
        <w:t xml:space="preserve">will make the assessment in respect of a period of one year from the date of the approval of the financial statements. If no such material uncertainties apply, then this will be stated. </w:t>
      </w:r>
    </w:p>
    <w:p w14:paraId="19A02A41" w14:textId="77777777" w:rsidR="00FD0171" w:rsidRPr="00291BBC" w:rsidRDefault="00FD0171" w:rsidP="00FD0171">
      <w:pPr>
        <w:pStyle w:val="ListParagraph"/>
        <w:ind w:left="1080"/>
        <w:rPr>
          <w:rFonts w:ascii="Century Gothic" w:hAnsi="Century Gothic" w:cs="Helvetica"/>
          <w:sz w:val="26"/>
          <w:szCs w:val="26"/>
        </w:rPr>
      </w:pPr>
    </w:p>
    <w:p w14:paraId="3081CF0A" w14:textId="4F95ADDD" w:rsidR="00FD0171" w:rsidRPr="00291BBC" w:rsidRDefault="00254C12" w:rsidP="00FD0171">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Consistency </w:t>
      </w:r>
    </w:p>
    <w:p w14:paraId="3C3BCFED" w14:textId="77777777" w:rsidR="00291BBC" w:rsidRPr="00291BBC" w:rsidRDefault="00291BBC" w:rsidP="00291BBC">
      <w:pPr>
        <w:pStyle w:val="ListParagraph"/>
        <w:ind w:left="1080"/>
        <w:rPr>
          <w:rFonts w:ascii="Helvetica" w:hAnsi="Helvetica" w:cs="Helvetica"/>
          <w:b/>
          <w:sz w:val="24"/>
          <w:szCs w:val="24"/>
        </w:rPr>
      </w:pPr>
    </w:p>
    <w:p w14:paraId="7EF07AC9" w14:textId="77777777" w:rsidR="00254C12"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w:t>
      </w:r>
      <w:r w:rsidR="00DF4D78" w:rsidRPr="00291BBC">
        <w:rPr>
          <w:rFonts w:ascii="Helvetica" w:hAnsi="Helvetica" w:cs="Helvetica"/>
          <w:sz w:val="24"/>
          <w:szCs w:val="24"/>
        </w:rPr>
        <w:t xml:space="preserve">Directors </w:t>
      </w:r>
      <w:r w:rsidRPr="00291BBC">
        <w:rPr>
          <w:rFonts w:ascii="Helvetica" w:hAnsi="Helvetica" w:cs="Helvetica"/>
          <w:sz w:val="24"/>
          <w:szCs w:val="24"/>
        </w:rPr>
        <w:t xml:space="preserve">have agreed on suitable accounting policies for depreciation of business assets, foreign exchange translation and accounting for stock valuation. These are applied consistently across the trust and over comparative financial years. </w:t>
      </w:r>
    </w:p>
    <w:p w14:paraId="6AA36E26" w14:textId="77777777" w:rsidR="00254C12" w:rsidRPr="00291BBC" w:rsidRDefault="00254C12" w:rsidP="00FD0171">
      <w:pPr>
        <w:pStyle w:val="ListParagraph"/>
        <w:ind w:left="1080"/>
        <w:rPr>
          <w:rFonts w:ascii="Helvetica" w:hAnsi="Helvetica" w:cs="Helvetica"/>
          <w:sz w:val="24"/>
          <w:szCs w:val="24"/>
        </w:rPr>
      </w:pPr>
    </w:p>
    <w:p w14:paraId="1AC58ED5" w14:textId="4BABE120" w:rsidR="00254C12" w:rsidRPr="00291BBC" w:rsidRDefault="00254C12" w:rsidP="00254C12">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Prudence </w:t>
      </w:r>
    </w:p>
    <w:p w14:paraId="1BE871E7" w14:textId="77777777" w:rsidR="00291BBC" w:rsidRPr="00291BBC" w:rsidRDefault="00291BBC" w:rsidP="00291BBC">
      <w:pPr>
        <w:pStyle w:val="ListParagraph"/>
        <w:ind w:left="1080"/>
        <w:rPr>
          <w:rFonts w:ascii="Helvetica" w:hAnsi="Helvetica" w:cs="Helvetica"/>
          <w:b/>
          <w:sz w:val="24"/>
          <w:szCs w:val="24"/>
        </w:rPr>
      </w:pPr>
    </w:p>
    <w:p w14:paraId="280551DB" w14:textId="77777777" w:rsidR="00B3343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accounts are prepared prudently. This means that only realised transactions are included in the income and expenditure statements. For example, income is included only where it is either received or its receipt is certain and applicable within the period. </w:t>
      </w:r>
    </w:p>
    <w:p w14:paraId="6F21F52E" w14:textId="77777777" w:rsidR="00B33431" w:rsidRPr="00291BBC" w:rsidRDefault="00B33431" w:rsidP="00254C12">
      <w:pPr>
        <w:pStyle w:val="ListParagraph"/>
        <w:ind w:left="1080"/>
        <w:rPr>
          <w:rFonts w:ascii="Helvetica" w:hAnsi="Helvetica" w:cs="Helvetica"/>
          <w:sz w:val="24"/>
          <w:szCs w:val="24"/>
        </w:rPr>
      </w:pPr>
    </w:p>
    <w:p w14:paraId="04C7CF83" w14:textId="77777777" w:rsidR="00254C12" w:rsidRPr="00291BBC" w:rsidRDefault="008350E6" w:rsidP="00254C12">
      <w:pPr>
        <w:pStyle w:val="ListParagraph"/>
        <w:ind w:left="1080"/>
        <w:rPr>
          <w:rFonts w:ascii="Helvetica" w:hAnsi="Helvetica" w:cs="Helvetica"/>
          <w:sz w:val="24"/>
          <w:szCs w:val="24"/>
        </w:rPr>
      </w:pPr>
      <w:r w:rsidRPr="00291BBC">
        <w:rPr>
          <w:rFonts w:ascii="Helvetica" w:hAnsi="Helvetica" w:cs="Helvetica"/>
          <w:sz w:val="24"/>
          <w:szCs w:val="24"/>
        </w:rPr>
        <w:t>Debts are considered and only written off in accordance with ESFA regulations.</w:t>
      </w:r>
    </w:p>
    <w:p w14:paraId="00709A5A" w14:textId="77777777" w:rsidR="00254C12" w:rsidRPr="00291BBC" w:rsidRDefault="00254C12" w:rsidP="00254C12">
      <w:pPr>
        <w:pStyle w:val="ListParagraph"/>
        <w:ind w:left="1080"/>
        <w:rPr>
          <w:rFonts w:ascii="Helvetica" w:hAnsi="Helvetica" w:cs="Helvetica"/>
          <w:sz w:val="24"/>
          <w:szCs w:val="24"/>
        </w:rPr>
      </w:pPr>
    </w:p>
    <w:p w14:paraId="7ADE264A" w14:textId="41FA57E6" w:rsidR="00254C12" w:rsidRPr="00291BBC" w:rsidRDefault="00254C12" w:rsidP="00254C12">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Netting </w:t>
      </w:r>
      <w:r w:rsidRPr="00291BBC">
        <w:rPr>
          <w:rFonts w:ascii="Century Gothic" w:hAnsi="Century Gothic" w:cs="Helvetica"/>
          <w:b/>
          <w:sz w:val="26"/>
          <w:szCs w:val="26"/>
        </w:rPr>
        <w:t>off</w:t>
      </w:r>
    </w:p>
    <w:p w14:paraId="3C0AF5AF" w14:textId="77777777" w:rsidR="00291BBC" w:rsidRPr="00291BBC" w:rsidRDefault="00291BBC" w:rsidP="00291BBC">
      <w:pPr>
        <w:pStyle w:val="ListParagraph"/>
        <w:ind w:left="1080"/>
        <w:rPr>
          <w:rFonts w:ascii="Helvetica" w:hAnsi="Helvetica" w:cs="Helvetica"/>
          <w:b/>
          <w:sz w:val="24"/>
          <w:szCs w:val="24"/>
        </w:rPr>
      </w:pPr>
    </w:p>
    <w:p w14:paraId="376FDC8C" w14:textId="77777777" w:rsidR="00254C12" w:rsidRPr="00291BBC" w:rsidRDefault="008350E6" w:rsidP="00254C12">
      <w:pPr>
        <w:pStyle w:val="ListParagraph"/>
        <w:ind w:left="1080"/>
        <w:rPr>
          <w:rFonts w:ascii="Helvetica" w:hAnsi="Helvetica" w:cs="Helvetica"/>
          <w:sz w:val="24"/>
          <w:szCs w:val="24"/>
        </w:rPr>
      </w:pPr>
      <w:r w:rsidRPr="00291BBC">
        <w:rPr>
          <w:rFonts w:ascii="Helvetica" w:hAnsi="Helvetica" w:cs="Helvetica"/>
          <w:sz w:val="24"/>
          <w:szCs w:val="24"/>
        </w:rPr>
        <w:t xml:space="preserve"> Items are not netted off in the accounts. The accounting system identifies all transactions and the financial procedures require that income and expenditure are fully recorded and not subject to netting off. </w:t>
      </w:r>
    </w:p>
    <w:p w14:paraId="596CA905" w14:textId="77777777" w:rsidR="00254C12" w:rsidRPr="00291BBC" w:rsidRDefault="00254C12" w:rsidP="00254C12">
      <w:pPr>
        <w:pStyle w:val="ListParagraph"/>
        <w:ind w:left="1080"/>
        <w:rPr>
          <w:rFonts w:ascii="Century Gothic" w:hAnsi="Century Gothic" w:cs="Helvetica"/>
          <w:sz w:val="26"/>
          <w:szCs w:val="26"/>
        </w:rPr>
      </w:pPr>
    </w:p>
    <w:p w14:paraId="389D0D91" w14:textId="0B802055" w:rsidR="00254C12" w:rsidRPr="00291BBC" w:rsidRDefault="008350E6" w:rsidP="00254C12">
      <w:pPr>
        <w:pStyle w:val="ListParagraph"/>
        <w:numPr>
          <w:ilvl w:val="0"/>
          <w:numId w:val="3"/>
        </w:numPr>
        <w:rPr>
          <w:rFonts w:ascii="Century Gothic" w:hAnsi="Century Gothic" w:cs="Helvetica"/>
          <w:sz w:val="26"/>
          <w:szCs w:val="26"/>
        </w:rPr>
      </w:pPr>
      <w:r w:rsidRPr="00291BBC">
        <w:rPr>
          <w:rFonts w:ascii="Century Gothic" w:hAnsi="Century Gothic" w:cs="Helvetica"/>
          <w:b/>
          <w:sz w:val="26"/>
          <w:szCs w:val="26"/>
        </w:rPr>
        <w:t>Accounting treatment of income</w:t>
      </w:r>
      <w:r w:rsidRPr="00291BBC">
        <w:rPr>
          <w:rFonts w:ascii="Century Gothic" w:hAnsi="Century Gothic" w:cs="Helvetica"/>
          <w:sz w:val="26"/>
          <w:szCs w:val="26"/>
        </w:rPr>
        <w:t xml:space="preserve"> </w:t>
      </w:r>
    </w:p>
    <w:p w14:paraId="4D65039E" w14:textId="77777777" w:rsidR="00291BBC" w:rsidRPr="00291BBC" w:rsidRDefault="00291BBC" w:rsidP="00291BBC">
      <w:pPr>
        <w:pStyle w:val="ListParagraph"/>
        <w:ind w:left="1080"/>
        <w:rPr>
          <w:rFonts w:ascii="Helvetica" w:hAnsi="Helvetica" w:cs="Helvetica"/>
          <w:sz w:val="24"/>
          <w:szCs w:val="24"/>
        </w:rPr>
      </w:pPr>
    </w:p>
    <w:p w14:paraId="7C1E4AF7" w14:textId="77777777" w:rsidR="00254C12"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All income is on a receivable basis. </w:t>
      </w:r>
    </w:p>
    <w:p w14:paraId="312ED706" w14:textId="77777777" w:rsidR="00AE4EE9" w:rsidRPr="00291BBC" w:rsidRDefault="00AE4EE9" w:rsidP="00291BBC">
      <w:pPr>
        <w:pStyle w:val="ListParagraph"/>
        <w:ind w:left="1080"/>
        <w:jc w:val="both"/>
        <w:rPr>
          <w:rFonts w:ascii="Helvetica" w:hAnsi="Helvetica" w:cs="Helvetica"/>
          <w:sz w:val="24"/>
          <w:szCs w:val="24"/>
        </w:rPr>
      </w:pPr>
    </w:p>
    <w:p w14:paraId="6CFBCD3B"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All incoming resources are recognised when the academy trust has entitlement to the funds, the receipt is probable and the amount can be measured reliably.</w:t>
      </w:r>
    </w:p>
    <w:p w14:paraId="12FD384A" w14:textId="77777777" w:rsidR="00AE4EE9" w:rsidRPr="00291BBC" w:rsidRDefault="00AE4EE9" w:rsidP="00291BBC">
      <w:pPr>
        <w:pStyle w:val="ListParagraph"/>
        <w:ind w:left="1080"/>
        <w:jc w:val="both"/>
        <w:rPr>
          <w:rFonts w:ascii="Helvetica" w:hAnsi="Helvetica" w:cs="Helvetica"/>
          <w:sz w:val="24"/>
          <w:szCs w:val="24"/>
        </w:rPr>
      </w:pPr>
    </w:p>
    <w:p w14:paraId="17651912"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Grants receivable are included in the statement of financial activities (SOFA) on a receivable basis. Any balance of income received for specific purposes but not expended during the period is shown in the relevant funds on the balance sheet. Where income is </w:t>
      </w:r>
      <w:r w:rsidRPr="00291BBC">
        <w:rPr>
          <w:rFonts w:ascii="Helvetica" w:hAnsi="Helvetica" w:cs="Helvetica"/>
          <w:sz w:val="24"/>
          <w:szCs w:val="24"/>
        </w:rPr>
        <w:lastRenderedPageBreak/>
        <w:t xml:space="preserve">received in advance of entitlement of receipt, its recognition is accrued and included in creditors as deferred income. </w:t>
      </w:r>
    </w:p>
    <w:p w14:paraId="1C7F8522" w14:textId="77777777" w:rsidR="00AE4EE9" w:rsidRPr="00291BBC" w:rsidRDefault="00AE4EE9" w:rsidP="00291BBC">
      <w:pPr>
        <w:pStyle w:val="ListParagraph"/>
        <w:ind w:left="1080"/>
        <w:jc w:val="both"/>
        <w:rPr>
          <w:rFonts w:ascii="Helvetica" w:hAnsi="Helvetica" w:cs="Helvetica"/>
          <w:sz w:val="24"/>
          <w:szCs w:val="24"/>
        </w:rPr>
      </w:pPr>
    </w:p>
    <w:p w14:paraId="632328AA"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Specific references are made for the receipt of the general annual grant (GAG), capital grants and any other grants with specific conditions. </w:t>
      </w:r>
    </w:p>
    <w:p w14:paraId="56DBEE41" w14:textId="77777777" w:rsidR="00AE4EE9" w:rsidRPr="00291BBC" w:rsidRDefault="00AE4EE9" w:rsidP="00291BBC">
      <w:pPr>
        <w:pStyle w:val="ListParagraph"/>
        <w:ind w:left="1080"/>
        <w:jc w:val="both"/>
        <w:rPr>
          <w:rFonts w:ascii="Helvetica" w:hAnsi="Helvetica" w:cs="Helvetica"/>
          <w:sz w:val="24"/>
          <w:szCs w:val="24"/>
        </w:rPr>
      </w:pPr>
    </w:p>
    <w:p w14:paraId="4E500E0D"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Donations to the trust are recognised on receipt.</w:t>
      </w:r>
    </w:p>
    <w:p w14:paraId="7037EBC6" w14:textId="77777777" w:rsidR="00AE4EE9" w:rsidRPr="00291BBC" w:rsidRDefault="00AE4EE9" w:rsidP="00291BBC">
      <w:pPr>
        <w:pStyle w:val="ListParagraph"/>
        <w:ind w:left="1080"/>
        <w:jc w:val="both"/>
        <w:rPr>
          <w:rFonts w:ascii="Helvetica" w:hAnsi="Helvetica" w:cs="Helvetica"/>
          <w:sz w:val="24"/>
          <w:szCs w:val="24"/>
        </w:rPr>
      </w:pPr>
    </w:p>
    <w:p w14:paraId="2C5D1014"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Capital grants are recognised in full when there is an unconditional entitlement to the grant. Unspent amounts of capital grants are reflected in the balance sheet in the restricted fixed asset fund. Capital grants are recognised when there is entitlement and are not deferred over the life of the asset on which they are expended. </w:t>
      </w:r>
    </w:p>
    <w:p w14:paraId="093EA091" w14:textId="77777777" w:rsidR="00AE4EE9" w:rsidRPr="00291BBC" w:rsidRDefault="00AE4EE9" w:rsidP="00291BBC">
      <w:pPr>
        <w:pStyle w:val="ListParagraph"/>
        <w:ind w:left="1080"/>
        <w:jc w:val="both"/>
        <w:rPr>
          <w:rFonts w:ascii="Helvetica" w:hAnsi="Helvetica" w:cs="Helvetica"/>
          <w:sz w:val="24"/>
          <w:szCs w:val="24"/>
        </w:rPr>
      </w:pPr>
    </w:p>
    <w:p w14:paraId="42A29139"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Sponsorship income (if applicable) provided to the academy trust which amounts to a donation is recognised in the SOFA in the period in which it is receivable (where there are no performance-related conditions). </w:t>
      </w:r>
    </w:p>
    <w:p w14:paraId="71AA1A89" w14:textId="77777777" w:rsidR="00B33431" w:rsidRPr="00291BBC" w:rsidRDefault="00B33431" w:rsidP="00291BBC">
      <w:pPr>
        <w:pStyle w:val="ListParagraph"/>
        <w:ind w:left="1080"/>
        <w:jc w:val="both"/>
        <w:rPr>
          <w:rFonts w:ascii="Helvetica" w:hAnsi="Helvetica" w:cs="Helvetica"/>
          <w:sz w:val="24"/>
          <w:szCs w:val="24"/>
        </w:rPr>
      </w:pPr>
    </w:p>
    <w:p w14:paraId="25C8EA04"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Donations are recognised on a receivable basis (where there are no performance-related conditions). </w:t>
      </w:r>
    </w:p>
    <w:p w14:paraId="27C652D4" w14:textId="77777777" w:rsidR="00AE4EE9" w:rsidRPr="00291BBC" w:rsidRDefault="00AE4EE9" w:rsidP="00291BBC">
      <w:pPr>
        <w:pStyle w:val="ListParagraph"/>
        <w:ind w:left="1080"/>
        <w:jc w:val="both"/>
        <w:rPr>
          <w:rFonts w:ascii="Helvetica" w:hAnsi="Helvetica" w:cs="Helvetica"/>
          <w:sz w:val="24"/>
          <w:szCs w:val="24"/>
        </w:rPr>
      </w:pPr>
    </w:p>
    <w:p w14:paraId="7E644B68"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Other income, including catering income and fees for breakfast and after school clubs, is recognised in the period it is receivable. </w:t>
      </w:r>
    </w:p>
    <w:p w14:paraId="68ADBE0E" w14:textId="77777777" w:rsidR="00AE4EE9" w:rsidRPr="00291BBC" w:rsidRDefault="00AE4EE9" w:rsidP="00254C12">
      <w:pPr>
        <w:pStyle w:val="ListParagraph"/>
        <w:ind w:left="1080"/>
        <w:rPr>
          <w:rFonts w:ascii="Helvetica" w:hAnsi="Helvetica" w:cs="Helvetica"/>
          <w:sz w:val="24"/>
          <w:szCs w:val="24"/>
        </w:rPr>
      </w:pPr>
    </w:p>
    <w:p w14:paraId="6C6100DD" w14:textId="488BDFE2"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Helvetica" w:hAnsi="Helvetica" w:cs="Helvetica"/>
          <w:b/>
          <w:sz w:val="24"/>
          <w:szCs w:val="24"/>
        </w:rPr>
        <w:t xml:space="preserve"> </w:t>
      </w:r>
      <w:r w:rsidR="008350E6" w:rsidRPr="00291BBC">
        <w:rPr>
          <w:rFonts w:ascii="Century Gothic" w:hAnsi="Century Gothic" w:cs="Helvetica"/>
          <w:b/>
          <w:sz w:val="26"/>
          <w:szCs w:val="26"/>
        </w:rPr>
        <w:t xml:space="preserve">Accounting treatment of resources expended </w:t>
      </w:r>
    </w:p>
    <w:p w14:paraId="3918C6DB" w14:textId="77777777" w:rsidR="00291BBC" w:rsidRPr="00291BBC" w:rsidRDefault="00291BBC" w:rsidP="00291BBC">
      <w:pPr>
        <w:pStyle w:val="ListParagraph"/>
        <w:ind w:left="1080"/>
        <w:rPr>
          <w:rFonts w:ascii="Helvetica" w:hAnsi="Helvetica" w:cs="Helvetica"/>
          <w:b/>
          <w:sz w:val="24"/>
          <w:szCs w:val="24"/>
        </w:rPr>
      </w:pPr>
    </w:p>
    <w:p w14:paraId="606B200F"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All expenditure is recognised in the period in which goods or services are received. </w:t>
      </w:r>
    </w:p>
    <w:p w14:paraId="08B9D05F" w14:textId="77777777" w:rsidR="00AE4EE9" w:rsidRPr="00291BBC" w:rsidRDefault="00AE4EE9" w:rsidP="00AE4EE9">
      <w:pPr>
        <w:pStyle w:val="ListParagraph"/>
        <w:ind w:left="1080"/>
        <w:rPr>
          <w:rFonts w:ascii="Helvetica" w:hAnsi="Helvetica" w:cs="Helvetica"/>
          <w:sz w:val="24"/>
          <w:szCs w:val="24"/>
        </w:rPr>
      </w:pPr>
    </w:p>
    <w:p w14:paraId="5B7B75B9"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All expenditure is classified in the accounts under an appropriate heading to the type of goods or services purchased. </w:t>
      </w:r>
    </w:p>
    <w:p w14:paraId="2A60104D" w14:textId="77777777" w:rsidR="00AE4EE9" w:rsidRPr="00291BBC" w:rsidRDefault="00AE4EE9" w:rsidP="00AE4EE9">
      <w:pPr>
        <w:pStyle w:val="ListParagraph"/>
        <w:ind w:left="1080"/>
        <w:rPr>
          <w:rFonts w:ascii="Helvetica" w:hAnsi="Helvetica" w:cs="Helvetica"/>
          <w:sz w:val="24"/>
          <w:szCs w:val="24"/>
        </w:rPr>
      </w:pPr>
    </w:p>
    <w:p w14:paraId="425E287F"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In relation to the costs of generating funds, where a fundraising activity incurs expenditure in order to raise the income, this is clearly shown in the accounts. </w:t>
      </w:r>
    </w:p>
    <w:p w14:paraId="314477C4" w14:textId="77777777" w:rsidR="00AE4EE9" w:rsidRPr="00291BBC" w:rsidRDefault="00AE4EE9" w:rsidP="00AE4EE9">
      <w:pPr>
        <w:pStyle w:val="ListParagraph"/>
        <w:ind w:left="1080"/>
        <w:rPr>
          <w:rFonts w:ascii="Helvetica" w:hAnsi="Helvetica" w:cs="Helvetica"/>
          <w:sz w:val="24"/>
          <w:szCs w:val="24"/>
        </w:rPr>
      </w:pPr>
    </w:p>
    <w:p w14:paraId="2AB355B3"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Large activities (</w:t>
      </w:r>
      <w:proofErr w:type="gramStart"/>
      <w:r w:rsidRPr="00291BBC">
        <w:rPr>
          <w:rFonts w:ascii="Helvetica" w:hAnsi="Helvetica" w:cs="Helvetica"/>
          <w:sz w:val="24"/>
          <w:szCs w:val="24"/>
        </w:rPr>
        <w:t>e.g.</w:t>
      </w:r>
      <w:proofErr w:type="gramEnd"/>
      <w:r w:rsidRPr="00291BBC">
        <w:rPr>
          <w:rFonts w:ascii="Helvetica" w:hAnsi="Helvetica" w:cs="Helvetica"/>
          <w:sz w:val="24"/>
          <w:szCs w:val="24"/>
        </w:rPr>
        <w:t xml:space="preserve"> exhibitions or shows) are given a discrete cost centre for both income and expenditure to enable a trading account to be extracted for monitoring purposes. </w:t>
      </w:r>
    </w:p>
    <w:p w14:paraId="3CEB700C"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Governance costs include the costs attributable to the trust’s compliance with constitutional and statutory requirements, including audit, strategic management and trustees’ meetings and reimbursed expenses. </w:t>
      </w:r>
    </w:p>
    <w:p w14:paraId="2F3642CB" w14:textId="77777777" w:rsidR="00AE4EE9" w:rsidRPr="00291BBC" w:rsidRDefault="00AE4EE9" w:rsidP="00AE4EE9">
      <w:pPr>
        <w:pStyle w:val="ListParagraph"/>
        <w:ind w:left="1080"/>
        <w:rPr>
          <w:rFonts w:ascii="Helvetica" w:hAnsi="Helvetica" w:cs="Helvetica"/>
          <w:sz w:val="24"/>
          <w:szCs w:val="24"/>
        </w:rPr>
      </w:pPr>
    </w:p>
    <w:p w14:paraId="4FAD35B2"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Resources are recorded net of VAT, with t</w:t>
      </w:r>
      <w:r w:rsidR="00AE4EE9" w:rsidRPr="00291BBC">
        <w:rPr>
          <w:rFonts w:ascii="Helvetica" w:hAnsi="Helvetica" w:cs="Helvetica"/>
          <w:sz w:val="24"/>
          <w:szCs w:val="24"/>
        </w:rPr>
        <w:t xml:space="preserve">he exception of business costs </w:t>
      </w:r>
      <w:r w:rsidRPr="00291BBC">
        <w:rPr>
          <w:rFonts w:ascii="Helvetica" w:hAnsi="Helvetica" w:cs="Helvetica"/>
          <w:sz w:val="24"/>
          <w:szCs w:val="24"/>
        </w:rPr>
        <w:t xml:space="preserve">where VAT is identified as irrecoverable. They are classified under headings that aggregate all costs relating to that activity. </w:t>
      </w:r>
    </w:p>
    <w:p w14:paraId="42F1C03C" w14:textId="77777777" w:rsidR="00AE4EE9" w:rsidRPr="00291BBC" w:rsidRDefault="00AE4EE9" w:rsidP="00AE4EE9">
      <w:pPr>
        <w:pStyle w:val="ListParagraph"/>
        <w:ind w:left="1080"/>
        <w:rPr>
          <w:rFonts w:ascii="Helvetica" w:hAnsi="Helvetica" w:cs="Helvetica"/>
          <w:sz w:val="24"/>
          <w:szCs w:val="24"/>
        </w:rPr>
      </w:pPr>
    </w:p>
    <w:p w14:paraId="4F689E14"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Where identified, costs incurred centrally on behalf of the academies of the trust are recharged for their proportion of those costs. The basis of proportion is determined for each type of cost incurred. </w:t>
      </w:r>
    </w:p>
    <w:p w14:paraId="7B854EC3" w14:textId="77777777" w:rsidR="00AE4EE9" w:rsidRPr="00291BBC" w:rsidRDefault="00AE4EE9" w:rsidP="00AE4EE9">
      <w:pPr>
        <w:pStyle w:val="ListParagraph"/>
        <w:ind w:left="1080"/>
        <w:rPr>
          <w:rFonts w:ascii="Helvetica" w:hAnsi="Helvetica" w:cs="Helvetica"/>
          <w:sz w:val="24"/>
          <w:szCs w:val="24"/>
        </w:rPr>
      </w:pPr>
    </w:p>
    <w:p w14:paraId="442B8574"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lastRenderedPageBreak/>
        <w:t xml:space="preserve">Where the expenditure is shared between more than one school within the trust, the cost is apportioned on a basis consistent with the use of those resources. Central staff are allocated based on time spent. Where specific support is given to an individual school, but the initial cost is borne centrally, then the whole cost is charged to the beneficiary school. </w:t>
      </w:r>
    </w:p>
    <w:p w14:paraId="54AB7B4C" w14:textId="77777777" w:rsidR="00AE4EE9" w:rsidRPr="00291BBC" w:rsidRDefault="00AE4EE9" w:rsidP="00AE4EE9">
      <w:pPr>
        <w:pStyle w:val="ListParagraph"/>
        <w:ind w:left="1080"/>
        <w:rPr>
          <w:rFonts w:ascii="Helvetica" w:hAnsi="Helvetica" w:cs="Helvetica"/>
          <w:sz w:val="24"/>
          <w:szCs w:val="24"/>
        </w:rPr>
      </w:pPr>
    </w:p>
    <w:p w14:paraId="51A5E960" w14:textId="32BDFA8C" w:rsidR="00AE4EE9" w:rsidRPr="00291BBC" w:rsidRDefault="008350E6"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Accounting for fixed assets </w:t>
      </w:r>
    </w:p>
    <w:p w14:paraId="3D41A81F" w14:textId="77777777" w:rsidR="00291BBC" w:rsidRPr="00291BBC" w:rsidRDefault="00291BBC" w:rsidP="00291BBC">
      <w:pPr>
        <w:pStyle w:val="ListParagraph"/>
        <w:ind w:left="1080"/>
        <w:rPr>
          <w:rFonts w:ascii="Helvetica" w:hAnsi="Helvetica" w:cs="Helvetica"/>
          <w:b/>
          <w:sz w:val="24"/>
          <w:szCs w:val="24"/>
        </w:rPr>
      </w:pPr>
    </w:p>
    <w:p w14:paraId="64F6EEC0"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Assets received on conversion or on transfer of an existing academy are valued at fair value and recognised in the balance sheet at the date of transfer. </w:t>
      </w:r>
    </w:p>
    <w:p w14:paraId="703224A6" w14:textId="77777777" w:rsidR="00AE4EE9" w:rsidRPr="00291BBC" w:rsidRDefault="00AE4EE9" w:rsidP="00291BBC">
      <w:pPr>
        <w:pStyle w:val="ListParagraph"/>
        <w:ind w:left="1080"/>
        <w:jc w:val="both"/>
        <w:rPr>
          <w:rFonts w:ascii="Helvetica" w:hAnsi="Helvetica" w:cs="Helvetica"/>
          <w:sz w:val="24"/>
          <w:szCs w:val="24"/>
        </w:rPr>
      </w:pPr>
    </w:p>
    <w:p w14:paraId="4EB4D988"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Donated fixed assets are measured at fair value on the date of receipt. </w:t>
      </w:r>
    </w:p>
    <w:p w14:paraId="0B0A1F89" w14:textId="77777777" w:rsidR="00AE4EE9" w:rsidRPr="00291BBC" w:rsidRDefault="00AE4EE9" w:rsidP="00291BBC">
      <w:pPr>
        <w:pStyle w:val="ListParagraph"/>
        <w:ind w:left="1080"/>
        <w:jc w:val="both"/>
        <w:rPr>
          <w:rFonts w:ascii="Helvetica" w:hAnsi="Helvetica" w:cs="Helvetica"/>
          <w:sz w:val="24"/>
          <w:szCs w:val="24"/>
        </w:rPr>
      </w:pPr>
    </w:p>
    <w:p w14:paraId="1E68782E"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Tangible fixed assets valued a</w:t>
      </w:r>
      <w:r w:rsidR="00B33431" w:rsidRPr="00291BBC">
        <w:rPr>
          <w:rFonts w:ascii="Helvetica" w:hAnsi="Helvetica" w:cs="Helvetica"/>
          <w:sz w:val="24"/>
          <w:szCs w:val="24"/>
        </w:rPr>
        <w:t>t</w:t>
      </w:r>
      <w:r w:rsidRPr="00291BBC">
        <w:rPr>
          <w:rFonts w:ascii="Helvetica" w:hAnsi="Helvetica" w:cs="Helvetica"/>
          <w:sz w:val="24"/>
          <w:szCs w:val="24"/>
        </w:rPr>
        <w:t xml:space="preserve"> £1,000 or greater are capitalised as tangible fixed assets and are carried at cost, net of depreciation. The value of assets is included in the balance sheet at cost and depreciated over their expected useful economic life. </w:t>
      </w:r>
    </w:p>
    <w:p w14:paraId="28D73309" w14:textId="77777777" w:rsidR="00AE4EE9" w:rsidRPr="00291BBC" w:rsidRDefault="00AE4EE9" w:rsidP="00291BBC">
      <w:pPr>
        <w:pStyle w:val="ListParagraph"/>
        <w:ind w:left="1080"/>
        <w:jc w:val="both"/>
        <w:rPr>
          <w:rFonts w:ascii="Helvetica" w:hAnsi="Helvetica" w:cs="Helvetica"/>
          <w:sz w:val="24"/>
          <w:szCs w:val="24"/>
        </w:rPr>
      </w:pPr>
    </w:p>
    <w:p w14:paraId="62CDAE31"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Where tangible fixed assets are acquired with the aid of specific grants, either from the government or from other sources, they are written down in the year of purchase as fully funded to account for the receipt of the grant. </w:t>
      </w:r>
    </w:p>
    <w:p w14:paraId="07A08A69" w14:textId="77777777" w:rsidR="00AE4EE9" w:rsidRPr="00291BBC" w:rsidRDefault="00AE4EE9" w:rsidP="00291BBC">
      <w:pPr>
        <w:pStyle w:val="ListParagraph"/>
        <w:ind w:left="1080"/>
        <w:jc w:val="both"/>
        <w:rPr>
          <w:rFonts w:ascii="Helvetica" w:hAnsi="Helvetica" w:cs="Helvetica"/>
          <w:sz w:val="24"/>
          <w:szCs w:val="24"/>
        </w:rPr>
      </w:pPr>
    </w:p>
    <w:p w14:paraId="34EA943E"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Intangible fixed assets costing £1,000 or greater are capitalised and recognised at cost and depreciated over their expected useful life. </w:t>
      </w:r>
    </w:p>
    <w:p w14:paraId="2645EDE9" w14:textId="77777777" w:rsidR="00B33431" w:rsidRPr="00291BBC" w:rsidRDefault="00B33431" w:rsidP="00291BBC">
      <w:pPr>
        <w:pStyle w:val="ListParagraph"/>
        <w:ind w:left="1080"/>
        <w:jc w:val="both"/>
        <w:rPr>
          <w:rFonts w:ascii="Helvetica" w:hAnsi="Helvetica" w:cs="Helvetica"/>
          <w:sz w:val="24"/>
          <w:szCs w:val="24"/>
        </w:rPr>
      </w:pPr>
    </w:p>
    <w:p w14:paraId="63C4BFE3" w14:textId="5AE448F3"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Depreciation </w:t>
      </w:r>
    </w:p>
    <w:p w14:paraId="02CF67ED" w14:textId="77777777" w:rsidR="00291BBC" w:rsidRPr="00291BBC" w:rsidRDefault="00291BBC" w:rsidP="00291BBC">
      <w:pPr>
        <w:pStyle w:val="ListParagraph"/>
        <w:ind w:left="1080"/>
        <w:rPr>
          <w:rFonts w:ascii="Helvetica" w:hAnsi="Helvetica" w:cs="Helvetica"/>
          <w:b/>
          <w:sz w:val="24"/>
          <w:szCs w:val="24"/>
        </w:rPr>
      </w:pPr>
    </w:p>
    <w:p w14:paraId="0E0242CE"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Depreciation is provided on all tangible fixed assets other than freehold land, at rates calculated to write off the cost of each asset on a </w:t>
      </w:r>
      <w:proofErr w:type="gramStart"/>
      <w:r w:rsidRPr="00291BBC">
        <w:rPr>
          <w:rFonts w:ascii="Helvetica" w:hAnsi="Helvetica" w:cs="Helvetica"/>
          <w:sz w:val="24"/>
          <w:szCs w:val="24"/>
        </w:rPr>
        <w:t>straight line</w:t>
      </w:r>
      <w:proofErr w:type="gramEnd"/>
      <w:r w:rsidRPr="00291BBC">
        <w:rPr>
          <w:rFonts w:ascii="Helvetica" w:hAnsi="Helvetica" w:cs="Helvetica"/>
          <w:sz w:val="24"/>
          <w:szCs w:val="24"/>
        </w:rPr>
        <w:t xml:space="preserve"> basis over its expected useful life, as follows: </w:t>
      </w:r>
    </w:p>
    <w:p w14:paraId="07C99C6D" w14:textId="77777777" w:rsidR="00B33431" w:rsidRPr="00291BBC" w:rsidRDefault="00B33431" w:rsidP="00AE4EE9">
      <w:pPr>
        <w:pStyle w:val="ListParagraph"/>
        <w:ind w:left="1080"/>
        <w:rPr>
          <w:rFonts w:ascii="Helvetica" w:hAnsi="Helvetica" w:cs="Helvetica"/>
          <w:sz w:val="24"/>
          <w:szCs w:val="24"/>
        </w:rPr>
      </w:pPr>
    </w:p>
    <w:p w14:paraId="5C82AEEE"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Freehold buildings – [50 years] </w:t>
      </w:r>
    </w:p>
    <w:p w14:paraId="1C7DB62E"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Long leasehold buildings – [50 years or as long as the lease, whichever is shorter] </w:t>
      </w:r>
    </w:p>
    <w:p w14:paraId="1DC2D4C3" w14:textId="6EE059BC"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Fixtures, fittings and equipment – [</w:t>
      </w:r>
      <w:r w:rsidR="00EC21E7">
        <w:rPr>
          <w:rFonts w:ascii="Helvetica" w:hAnsi="Helvetica" w:cs="Helvetica"/>
          <w:sz w:val="24"/>
          <w:szCs w:val="24"/>
        </w:rPr>
        <w:t>5</w:t>
      </w:r>
      <w:r w:rsidRPr="00291BBC">
        <w:rPr>
          <w:rFonts w:ascii="Helvetica" w:hAnsi="Helvetica" w:cs="Helvetica"/>
          <w:sz w:val="24"/>
          <w:szCs w:val="24"/>
        </w:rPr>
        <w:t xml:space="preserve"> years] </w:t>
      </w:r>
    </w:p>
    <w:p w14:paraId="5668EC58"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ICT equipment – [3 years] </w:t>
      </w:r>
    </w:p>
    <w:p w14:paraId="123FCBF4"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Motor vehicles – [5 years] </w:t>
      </w:r>
    </w:p>
    <w:p w14:paraId="34801D44"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Purchased</w:t>
      </w:r>
      <w:r w:rsidR="00AE4EE9" w:rsidRPr="00291BBC">
        <w:rPr>
          <w:rFonts w:ascii="Helvetica" w:hAnsi="Helvetica" w:cs="Helvetica"/>
          <w:sz w:val="24"/>
          <w:szCs w:val="24"/>
        </w:rPr>
        <w:t xml:space="preserve"> computer software – [5 years] </w:t>
      </w:r>
      <w:r w:rsidRPr="00291BBC">
        <w:rPr>
          <w:rFonts w:ascii="Helvetica" w:hAnsi="Helvetica" w:cs="Helvetica"/>
          <w:sz w:val="24"/>
          <w:szCs w:val="24"/>
        </w:rPr>
        <w:t xml:space="preserve"> </w:t>
      </w:r>
    </w:p>
    <w:p w14:paraId="31EF9A70" w14:textId="77777777" w:rsidR="00B33431" w:rsidRDefault="00B33431" w:rsidP="00AE4EE9">
      <w:pPr>
        <w:pStyle w:val="ListParagraph"/>
        <w:ind w:left="1080"/>
        <w:rPr>
          <w:rFonts w:ascii="Helvetica" w:hAnsi="Helvetica" w:cs="Helvetica"/>
          <w:sz w:val="24"/>
          <w:szCs w:val="24"/>
        </w:rPr>
      </w:pPr>
    </w:p>
    <w:p w14:paraId="53953A9E" w14:textId="77777777" w:rsidR="00430E85" w:rsidRPr="00291BBC" w:rsidRDefault="00430E85" w:rsidP="00AE4EE9">
      <w:pPr>
        <w:pStyle w:val="ListParagraph"/>
        <w:ind w:left="1080"/>
        <w:rPr>
          <w:rFonts w:ascii="Helvetica" w:hAnsi="Helvetica" w:cs="Helvetica"/>
          <w:sz w:val="24"/>
          <w:szCs w:val="24"/>
        </w:rPr>
      </w:pPr>
    </w:p>
    <w:p w14:paraId="50048145" w14:textId="77777777" w:rsidR="00B33431"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Depreciation on assets still in construction is not charged until they are brought into use. </w:t>
      </w:r>
    </w:p>
    <w:p w14:paraId="57E011F3" w14:textId="77777777" w:rsidR="00B33431" w:rsidRPr="00291BBC" w:rsidRDefault="00B33431" w:rsidP="00291BBC">
      <w:pPr>
        <w:pStyle w:val="ListParagraph"/>
        <w:ind w:left="1080"/>
        <w:jc w:val="both"/>
        <w:rPr>
          <w:rFonts w:ascii="Helvetica" w:hAnsi="Helvetica" w:cs="Helvetica"/>
          <w:sz w:val="24"/>
          <w:szCs w:val="24"/>
        </w:rPr>
      </w:pPr>
    </w:p>
    <w:p w14:paraId="4A1D87F8"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Should an asset become damaged or lost without recovery, then this can be written off as disposed of. Where there is a remaining value then this is charged to the year of write off.</w:t>
      </w:r>
    </w:p>
    <w:p w14:paraId="69F61620" w14:textId="77777777" w:rsidR="00AE4EE9" w:rsidRPr="00291BBC" w:rsidRDefault="00AE4EE9" w:rsidP="00AE4EE9">
      <w:pPr>
        <w:pStyle w:val="ListParagraph"/>
        <w:ind w:left="1080"/>
        <w:rPr>
          <w:rFonts w:ascii="Helvetica" w:hAnsi="Helvetica" w:cs="Helvetica"/>
          <w:sz w:val="24"/>
          <w:szCs w:val="24"/>
        </w:rPr>
      </w:pPr>
    </w:p>
    <w:p w14:paraId="20BBAC15" w14:textId="77777777"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Leased assets </w:t>
      </w:r>
    </w:p>
    <w:p w14:paraId="5AC56F07" w14:textId="77777777" w:rsidR="00AE4EE9" w:rsidRPr="00291BBC" w:rsidRDefault="00AE4EE9" w:rsidP="00AE4EE9">
      <w:pPr>
        <w:pStyle w:val="ListParagraph"/>
        <w:ind w:left="1080"/>
        <w:rPr>
          <w:rFonts w:ascii="Helvetica" w:hAnsi="Helvetica" w:cs="Helvetica"/>
          <w:sz w:val="24"/>
          <w:szCs w:val="24"/>
        </w:rPr>
      </w:pPr>
    </w:p>
    <w:p w14:paraId="634151BB"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lastRenderedPageBreak/>
        <w:t xml:space="preserve">Leased assets rentals under operating leases are charged on a straight-line basis over the lease term reflecting the payment terms. </w:t>
      </w:r>
    </w:p>
    <w:p w14:paraId="5BE96C3E" w14:textId="77777777" w:rsidR="00AE4EE9" w:rsidRPr="00291BBC" w:rsidRDefault="00AE4EE9" w:rsidP="00AE4EE9">
      <w:pPr>
        <w:pStyle w:val="ListParagraph"/>
        <w:ind w:left="1080"/>
        <w:rPr>
          <w:rFonts w:ascii="Helvetica" w:hAnsi="Helvetica" w:cs="Helvetica"/>
          <w:sz w:val="24"/>
          <w:szCs w:val="24"/>
        </w:rPr>
      </w:pPr>
    </w:p>
    <w:p w14:paraId="24EA6349" w14:textId="612FA445"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Investments </w:t>
      </w:r>
    </w:p>
    <w:p w14:paraId="7BBDC401" w14:textId="77777777" w:rsidR="00291BBC" w:rsidRPr="00291BBC" w:rsidRDefault="00291BBC" w:rsidP="00291BBC">
      <w:pPr>
        <w:pStyle w:val="ListParagraph"/>
        <w:ind w:left="1080"/>
        <w:rPr>
          <w:rFonts w:ascii="Helvetica" w:hAnsi="Helvetica" w:cs="Helvetica"/>
          <w:b/>
          <w:sz w:val="24"/>
          <w:szCs w:val="24"/>
        </w:rPr>
      </w:pPr>
    </w:p>
    <w:p w14:paraId="4EEFBC6A"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The accounting policy for investments is determined when the need arises. </w:t>
      </w:r>
    </w:p>
    <w:p w14:paraId="5E1C00A1"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Should an investment become possible, then the trust determines the minimum risk options available to protect public monies.</w:t>
      </w:r>
    </w:p>
    <w:p w14:paraId="7350FD52" w14:textId="77777777" w:rsidR="00B33431" w:rsidRPr="00291BBC" w:rsidRDefault="00B33431" w:rsidP="00AE4EE9">
      <w:pPr>
        <w:pStyle w:val="ListParagraph"/>
        <w:ind w:left="1080"/>
        <w:rPr>
          <w:rFonts w:ascii="Helvetica" w:hAnsi="Helvetica" w:cs="Helvetica"/>
          <w:sz w:val="24"/>
          <w:szCs w:val="24"/>
        </w:rPr>
      </w:pPr>
    </w:p>
    <w:p w14:paraId="05133505"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The trust does not hold any investments at the current time. </w:t>
      </w:r>
    </w:p>
    <w:p w14:paraId="4CE5A89A" w14:textId="77777777" w:rsidR="00AE4EE9" w:rsidRPr="00291BBC" w:rsidRDefault="00AE4EE9" w:rsidP="00AE4EE9">
      <w:pPr>
        <w:pStyle w:val="ListParagraph"/>
        <w:ind w:left="1080"/>
        <w:rPr>
          <w:rFonts w:ascii="Century Gothic" w:hAnsi="Century Gothic" w:cs="Helvetica"/>
          <w:sz w:val="26"/>
          <w:szCs w:val="26"/>
        </w:rPr>
      </w:pPr>
    </w:p>
    <w:p w14:paraId="21820718" w14:textId="2B271C63"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Reserves policy </w:t>
      </w:r>
    </w:p>
    <w:p w14:paraId="1678D2E4" w14:textId="77777777" w:rsidR="00291BBC" w:rsidRPr="00291BBC" w:rsidRDefault="00291BBC" w:rsidP="00291BBC">
      <w:pPr>
        <w:pStyle w:val="ListParagraph"/>
        <w:ind w:left="1080"/>
        <w:rPr>
          <w:rFonts w:ascii="Helvetica" w:hAnsi="Helvetica" w:cs="Helvetica"/>
          <w:b/>
          <w:sz w:val="24"/>
          <w:szCs w:val="24"/>
        </w:rPr>
      </w:pPr>
    </w:p>
    <w:p w14:paraId="1456F3D2"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 xml:space="preserve">The trustees review the level of reserves annually. </w:t>
      </w:r>
    </w:p>
    <w:p w14:paraId="66D4796E" w14:textId="77777777" w:rsidR="00AE4EE9" w:rsidRPr="00291BBC" w:rsidRDefault="00AE4EE9" w:rsidP="00AE4EE9">
      <w:pPr>
        <w:pStyle w:val="ListParagraph"/>
        <w:ind w:left="1080"/>
        <w:rPr>
          <w:rFonts w:ascii="Helvetica" w:hAnsi="Helvetica" w:cs="Helvetica"/>
          <w:sz w:val="24"/>
          <w:szCs w:val="24"/>
        </w:rPr>
      </w:pPr>
    </w:p>
    <w:p w14:paraId="00436F5F"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The trustees have agreed that the appropriate level of reserves is equivalent to one month of GAG. This level will provide sufficient liquid funds to cover committed expenditure, includin</w:t>
      </w:r>
      <w:r w:rsidR="00B33431" w:rsidRPr="00291BBC">
        <w:rPr>
          <w:rFonts w:ascii="Helvetica" w:hAnsi="Helvetica" w:cs="Helvetica"/>
          <w:sz w:val="24"/>
          <w:szCs w:val="24"/>
        </w:rPr>
        <w:t>g employee costs, for one month.</w:t>
      </w:r>
    </w:p>
    <w:p w14:paraId="36142D09" w14:textId="77777777" w:rsidR="00B33431" w:rsidRPr="00291BBC" w:rsidRDefault="00B33431" w:rsidP="00AE4EE9">
      <w:pPr>
        <w:pStyle w:val="ListParagraph"/>
        <w:ind w:left="1080"/>
        <w:rPr>
          <w:rFonts w:ascii="Century Gothic" w:hAnsi="Century Gothic" w:cs="Arial"/>
          <w:sz w:val="26"/>
          <w:szCs w:val="26"/>
        </w:rPr>
      </w:pPr>
    </w:p>
    <w:p w14:paraId="3F107B7A" w14:textId="7C932E7E" w:rsidR="00AE4EE9" w:rsidRPr="00291BBC" w:rsidRDefault="00AE4EE9" w:rsidP="00AE4EE9">
      <w:pPr>
        <w:pStyle w:val="ListParagraph"/>
        <w:numPr>
          <w:ilvl w:val="0"/>
          <w:numId w:val="3"/>
        </w:numPr>
        <w:rPr>
          <w:rFonts w:ascii="Century Gothic" w:hAnsi="Century Gothic" w:cs="Arial"/>
          <w:b/>
          <w:sz w:val="26"/>
          <w:szCs w:val="26"/>
        </w:rPr>
      </w:pPr>
      <w:r w:rsidRPr="00291BBC">
        <w:rPr>
          <w:rFonts w:ascii="Century Gothic" w:hAnsi="Century Gothic" w:cs="Arial"/>
          <w:b/>
          <w:sz w:val="26"/>
          <w:szCs w:val="26"/>
        </w:rPr>
        <w:t xml:space="preserve"> </w:t>
      </w:r>
      <w:r w:rsidR="008350E6" w:rsidRPr="00291BBC">
        <w:rPr>
          <w:rFonts w:ascii="Century Gothic" w:hAnsi="Century Gothic" w:cs="Arial"/>
          <w:b/>
          <w:sz w:val="26"/>
          <w:szCs w:val="26"/>
        </w:rPr>
        <w:t xml:space="preserve">Stock </w:t>
      </w:r>
    </w:p>
    <w:p w14:paraId="356B870B" w14:textId="77777777" w:rsidR="00291BBC" w:rsidRPr="00291BBC" w:rsidRDefault="00291BBC" w:rsidP="00291BBC">
      <w:pPr>
        <w:pStyle w:val="ListParagraph"/>
        <w:ind w:left="1080"/>
        <w:rPr>
          <w:rFonts w:ascii="Helvetica" w:hAnsi="Helvetica" w:cs="Helvetica"/>
          <w:b/>
          <w:sz w:val="24"/>
          <w:szCs w:val="24"/>
        </w:rPr>
      </w:pPr>
    </w:p>
    <w:p w14:paraId="765DCAF0" w14:textId="77777777" w:rsidR="00AE4EE9" w:rsidRPr="00291BBC" w:rsidRDefault="008350E6" w:rsidP="00AE4EE9">
      <w:pPr>
        <w:pStyle w:val="ListParagraph"/>
        <w:ind w:left="1080"/>
        <w:rPr>
          <w:rFonts w:ascii="Helvetica" w:hAnsi="Helvetica" w:cs="Helvetica"/>
          <w:sz w:val="24"/>
          <w:szCs w:val="24"/>
        </w:rPr>
      </w:pPr>
      <w:r w:rsidRPr="00291BBC">
        <w:rPr>
          <w:rFonts w:ascii="Helvetica" w:hAnsi="Helvetica" w:cs="Helvetica"/>
          <w:sz w:val="24"/>
          <w:szCs w:val="24"/>
        </w:rPr>
        <w:t>Catering stocks are the property of the catering provider.</w:t>
      </w:r>
    </w:p>
    <w:p w14:paraId="073F4E4E" w14:textId="77777777" w:rsidR="00AE4EE9" w:rsidRPr="00291BBC" w:rsidRDefault="00AE4EE9" w:rsidP="00AE4EE9">
      <w:pPr>
        <w:pStyle w:val="ListParagraph"/>
        <w:ind w:left="1080"/>
        <w:rPr>
          <w:rFonts w:ascii="Helvetica" w:hAnsi="Helvetica" w:cs="Helvetica"/>
          <w:sz w:val="24"/>
          <w:szCs w:val="24"/>
        </w:rPr>
      </w:pPr>
    </w:p>
    <w:p w14:paraId="22ABB638" w14:textId="50B60AD7"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Taxation </w:t>
      </w:r>
    </w:p>
    <w:p w14:paraId="72CAAD46" w14:textId="77777777" w:rsidR="00291BBC" w:rsidRPr="00291BBC" w:rsidRDefault="00291BBC" w:rsidP="00291BBC">
      <w:pPr>
        <w:pStyle w:val="ListParagraph"/>
        <w:ind w:left="1080"/>
        <w:rPr>
          <w:rFonts w:ascii="Helvetica" w:hAnsi="Helvetica" w:cs="Helvetica"/>
          <w:b/>
          <w:sz w:val="24"/>
          <w:szCs w:val="24"/>
        </w:rPr>
      </w:pPr>
    </w:p>
    <w:p w14:paraId="307A3871"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academy trust meets the definition of a charitable company for UK corporation tax purposes. </w:t>
      </w:r>
    </w:p>
    <w:p w14:paraId="5BD4266F" w14:textId="77777777" w:rsidR="00B33431" w:rsidRPr="00291BBC" w:rsidRDefault="00B33431" w:rsidP="00291BBC">
      <w:pPr>
        <w:pStyle w:val="ListParagraph"/>
        <w:ind w:left="1080"/>
        <w:jc w:val="both"/>
        <w:rPr>
          <w:rFonts w:ascii="Helvetica" w:hAnsi="Helvetica" w:cs="Helvetica"/>
          <w:sz w:val="24"/>
          <w:szCs w:val="24"/>
        </w:rPr>
      </w:pPr>
    </w:p>
    <w:p w14:paraId="74D352ED"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academy trust is, by definition, exempt from taxation in respect of income, capital gains and corporation taxes on the provision and understanding that all income and other gains are applied exclusively for educational purposes. </w:t>
      </w:r>
    </w:p>
    <w:p w14:paraId="6A214FCC" w14:textId="77777777" w:rsidR="00AE4EE9" w:rsidRPr="00291BBC" w:rsidRDefault="00AE4EE9" w:rsidP="00AE4EE9">
      <w:pPr>
        <w:pStyle w:val="ListParagraph"/>
        <w:ind w:left="1080"/>
        <w:rPr>
          <w:rFonts w:ascii="Helvetica" w:hAnsi="Helvetica" w:cs="Helvetica"/>
          <w:sz w:val="24"/>
          <w:szCs w:val="24"/>
        </w:rPr>
      </w:pPr>
    </w:p>
    <w:p w14:paraId="1AFF2F23" w14:textId="176551A7" w:rsidR="00AE4EE9" w:rsidRPr="00291BBC" w:rsidRDefault="00AE4EE9" w:rsidP="00AE4EE9">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Pensions benefits </w:t>
      </w:r>
    </w:p>
    <w:p w14:paraId="24FA2460" w14:textId="77777777" w:rsidR="00291BBC" w:rsidRPr="00291BBC" w:rsidRDefault="00291BBC" w:rsidP="00291BBC">
      <w:pPr>
        <w:pStyle w:val="ListParagraph"/>
        <w:ind w:left="1080"/>
        <w:rPr>
          <w:rFonts w:ascii="Helvetica" w:hAnsi="Helvetica" w:cs="Helvetica"/>
          <w:b/>
          <w:sz w:val="24"/>
          <w:szCs w:val="24"/>
        </w:rPr>
      </w:pPr>
    </w:p>
    <w:p w14:paraId="4AC00604" w14:textId="77777777" w:rsidR="00AE4EE9"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The trust holds two types of pension benefits for its employees. </w:t>
      </w:r>
    </w:p>
    <w:p w14:paraId="43B3990D" w14:textId="77777777" w:rsidR="00AE4EE9" w:rsidRPr="00291BBC" w:rsidRDefault="00AE4EE9" w:rsidP="00291BBC">
      <w:pPr>
        <w:pStyle w:val="ListParagraph"/>
        <w:ind w:left="1080"/>
        <w:jc w:val="both"/>
        <w:rPr>
          <w:rFonts w:ascii="Helvetica" w:hAnsi="Helvetica" w:cs="Helvetica"/>
          <w:sz w:val="24"/>
          <w:szCs w:val="24"/>
        </w:rPr>
      </w:pPr>
    </w:p>
    <w:p w14:paraId="5C035A24" w14:textId="77777777" w:rsidR="008031E8"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The two schemes are provided by the Teac</w:t>
      </w:r>
      <w:r w:rsidR="00DF4D78" w:rsidRPr="00291BBC">
        <w:rPr>
          <w:rFonts w:ascii="Helvetica" w:hAnsi="Helvetica" w:cs="Helvetica"/>
          <w:sz w:val="24"/>
          <w:szCs w:val="24"/>
        </w:rPr>
        <w:t>hers’ Pension Scheme (TPS) and</w:t>
      </w:r>
      <w:r w:rsidRPr="00291BBC">
        <w:rPr>
          <w:rFonts w:ascii="Helvetica" w:hAnsi="Helvetica" w:cs="Helvetica"/>
          <w:sz w:val="24"/>
          <w:szCs w:val="24"/>
        </w:rPr>
        <w:t xml:space="preserve"> the Local Government Pension Scheme (LGPS). These are defined benefit schemes, are contracted out of the State Earnings-Related Pension Scheme (SERPS), and the assets are held separately from those of the trust. The LGPS is a funded scheme and the assets are held separately from those of the trust in separate </w:t>
      </w:r>
      <w:r w:rsidR="00DF4D78" w:rsidRPr="00291BBC">
        <w:rPr>
          <w:rFonts w:ascii="Helvetica" w:hAnsi="Helvetica" w:cs="Helvetica"/>
          <w:sz w:val="24"/>
          <w:szCs w:val="24"/>
        </w:rPr>
        <w:t xml:space="preserve">Director </w:t>
      </w:r>
      <w:r w:rsidRPr="00291BBC">
        <w:rPr>
          <w:rFonts w:ascii="Helvetica" w:hAnsi="Helvetica" w:cs="Helvetica"/>
          <w:sz w:val="24"/>
          <w:szCs w:val="24"/>
        </w:rPr>
        <w:t xml:space="preserve">administered funds. The trust is liable for the “deficit” payment based on the annual actuarial value. </w:t>
      </w:r>
    </w:p>
    <w:p w14:paraId="07A60FCB" w14:textId="77777777" w:rsidR="008031E8" w:rsidRPr="00291BBC" w:rsidRDefault="008031E8" w:rsidP="00291BBC">
      <w:pPr>
        <w:pStyle w:val="ListParagraph"/>
        <w:ind w:left="1080"/>
        <w:jc w:val="both"/>
        <w:rPr>
          <w:rFonts w:ascii="Helvetica" w:hAnsi="Helvetica" w:cs="Helvetica"/>
          <w:sz w:val="24"/>
          <w:szCs w:val="24"/>
        </w:rPr>
      </w:pPr>
    </w:p>
    <w:p w14:paraId="08B883C4" w14:textId="77777777" w:rsidR="008031E8"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t xml:space="preserve">Actuarial reviews of the LGPS are conducted annually and recognised as a separate fund within the accounts. </w:t>
      </w:r>
    </w:p>
    <w:p w14:paraId="29A39F57" w14:textId="77777777" w:rsidR="008031E8" w:rsidRPr="00291BBC" w:rsidRDefault="008031E8" w:rsidP="00291BBC">
      <w:pPr>
        <w:pStyle w:val="ListParagraph"/>
        <w:ind w:left="1080"/>
        <w:jc w:val="both"/>
        <w:rPr>
          <w:rFonts w:ascii="Helvetica" w:hAnsi="Helvetica" w:cs="Helvetica"/>
          <w:sz w:val="24"/>
          <w:szCs w:val="24"/>
        </w:rPr>
      </w:pPr>
    </w:p>
    <w:p w14:paraId="05249BBC" w14:textId="77777777" w:rsidR="008031E8" w:rsidRPr="00291BBC" w:rsidRDefault="008350E6" w:rsidP="00291BBC">
      <w:pPr>
        <w:pStyle w:val="ListParagraph"/>
        <w:ind w:left="1080"/>
        <w:jc w:val="both"/>
        <w:rPr>
          <w:rFonts w:ascii="Helvetica" w:hAnsi="Helvetica" w:cs="Helvetica"/>
          <w:sz w:val="24"/>
          <w:szCs w:val="24"/>
        </w:rPr>
      </w:pPr>
      <w:r w:rsidRPr="00291BBC">
        <w:rPr>
          <w:rFonts w:ascii="Helvetica" w:hAnsi="Helvetica" w:cs="Helvetica"/>
          <w:sz w:val="24"/>
          <w:szCs w:val="24"/>
        </w:rPr>
        <w:lastRenderedPageBreak/>
        <w:t xml:space="preserve">The TPS is an unfunded scheme and contributions are calculated so as to spread the cost of pensions over employees’ working lives. The TPS is therefore treated as a defined contribution scheme for accounting purposes and the contributions recognised in the period to which they relate. </w:t>
      </w:r>
    </w:p>
    <w:p w14:paraId="68772794" w14:textId="77777777" w:rsidR="008031E8" w:rsidRPr="00291BBC" w:rsidRDefault="008031E8" w:rsidP="00AE4EE9">
      <w:pPr>
        <w:pStyle w:val="ListParagraph"/>
        <w:ind w:left="1080"/>
        <w:rPr>
          <w:rFonts w:ascii="Century Gothic" w:hAnsi="Century Gothic" w:cs="Helvetica"/>
          <w:sz w:val="26"/>
          <w:szCs w:val="26"/>
        </w:rPr>
      </w:pPr>
    </w:p>
    <w:p w14:paraId="3E364004" w14:textId="031C4FD3" w:rsidR="008031E8" w:rsidRPr="00291BBC" w:rsidRDefault="008031E8" w:rsidP="008031E8">
      <w:pPr>
        <w:pStyle w:val="ListParagraph"/>
        <w:numPr>
          <w:ilvl w:val="0"/>
          <w:numId w:val="3"/>
        </w:numPr>
        <w:rPr>
          <w:rFonts w:ascii="Century Gothic" w:hAnsi="Century Gothic" w:cs="Helvetica"/>
          <w:b/>
          <w:sz w:val="26"/>
          <w:szCs w:val="26"/>
        </w:rPr>
      </w:pPr>
      <w:r w:rsidRPr="00291BBC">
        <w:rPr>
          <w:rFonts w:ascii="Century Gothic" w:hAnsi="Century Gothic" w:cs="Helvetica"/>
          <w:b/>
          <w:sz w:val="26"/>
          <w:szCs w:val="26"/>
        </w:rPr>
        <w:t xml:space="preserve"> </w:t>
      </w:r>
      <w:r w:rsidR="008350E6" w:rsidRPr="00291BBC">
        <w:rPr>
          <w:rFonts w:ascii="Century Gothic" w:hAnsi="Century Gothic" w:cs="Helvetica"/>
          <w:b/>
          <w:sz w:val="26"/>
          <w:szCs w:val="26"/>
        </w:rPr>
        <w:t xml:space="preserve">Fund accounting </w:t>
      </w:r>
    </w:p>
    <w:p w14:paraId="702F0640" w14:textId="77777777" w:rsidR="00291BBC" w:rsidRPr="00291BBC" w:rsidRDefault="00291BBC" w:rsidP="00291BBC">
      <w:pPr>
        <w:pStyle w:val="ListParagraph"/>
        <w:ind w:left="1080"/>
        <w:rPr>
          <w:rFonts w:ascii="Helvetica" w:hAnsi="Helvetica" w:cs="Helvetica"/>
          <w:b/>
          <w:sz w:val="24"/>
          <w:szCs w:val="24"/>
        </w:rPr>
      </w:pPr>
    </w:p>
    <w:p w14:paraId="4242BED5"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t xml:space="preserve">Restricted general funds comprise income from any source where the funding is intended for a specific purpose. This includes all grants received from the ESFA and from any other funding body. </w:t>
      </w:r>
    </w:p>
    <w:p w14:paraId="159FC201" w14:textId="77777777" w:rsidR="008031E8" w:rsidRPr="00291BBC" w:rsidRDefault="008031E8" w:rsidP="008031E8">
      <w:pPr>
        <w:pStyle w:val="ListParagraph"/>
        <w:ind w:left="1080"/>
        <w:rPr>
          <w:rFonts w:ascii="Helvetica" w:hAnsi="Helvetica" w:cs="Helvetica"/>
          <w:sz w:val="24"/>
          <w:szCs w:val="24"/>
        </w:rPr>
      </w:pPr>
    </w:p>
    <w:p w14:paraId="2CE264ED"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t xml:space="preserve">Unrestricted income funds represent those resources which may be used towards meeting any of the charitable objects of the trust at the discretion of the </w:t>
      </w:r>
      <w:r w:rsidR="00687A49" w:rsidRPr="00291BBC">
        <w:rPr>
          <w:rFonts w:ascii="Helvetica" w:hAnsi="Helvetica" w:cs="Helvetica"/>
          <w:sz w:val="24"/>
          <w:szCs w:val="24"/>
        </w:rPr>
        <w:t>Directors</w:t>
      </w:r>
      <w:r w:rsidRPr="00291BBC">
        <w:rPr>
          <w:rFonts w:ascii="Helvetica" w:hAnsi="Helvetica" w:cs="Helvetica"/>
          <w:sz w:val="24"/>
          <w:szCs w:val="24"/>
        </w:rPr>
        <w:t xml:space="preserve">. </w:t>
      </w:r>
    </w:p>
    <w:p w14:paraId="0446934C" w14:textId="77777777" w:rsidR="008031E8" w:rsidRPr="00291BBC" w:rsidRDefault="008031E8" w:rsidP="008031E8">
      <w:pPr>
        <w:pStyle w:val="ListParagraph"/>
        <w:ind w:left="1080"/>
        <w:rPr>
          <w:rFonts w:ascii="Helvetica" w:hAnsi="Helvetica" w:cs="Helvetica"/>
          <w:sz w:val="24"/>
          <w:szCs w:val="24"/>
        </w:rPr>
      </w:pPr>
    </w:p>
    <w:p w14:paraId="228D6AC1"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t xml:space="preserve">Restricted fixed asset funds </w:t>
      </w:r>
      <w:proofErr w:type="gramStart"/>
      <w:r w:rsidRPr="00291BBC">
        <w:rPr>
          <w:rFonts w:ascii="Helvetica" w:hAnsi="Helvetica" w:cs="Helvetica"/>
          <w:sz w:val="24"/>
          <w:szCs w:val="24"/>
        </w:rPr>
        <w:t>refers</w:t>
      </w:r>
      <w:proofErr w:type="gramEnd"/>
      <w:r w:rsidRPr="00291BBC">
        <w:rPr>
          <w:rFonts w:ascii="Helvetica" w:hAnsi="Helvetica" w:cs="Helvetica"/>
          <w:sz w:val="24"/>
          <w:szCs w:val="24"/>
        </w:rPr>
        <w:t xml:space="preserve"> to income which is to be applied to specific capital purposes imposed by the ESFA or other funders where the asset acquired is for a specific purpose. </w:t>
      </w:r>
    </w:p>
    <w:p w14:paraId="26454508" w14:textId="77777777" w:rsidR="008031E8" w:rsidRPr="00291BBC" w:rsidRDefault="008031E8" w:rsidP="008031E8">
      <w:pPr>
        <w:pStyle w:val="ListParagraph"/>
        <w:ind w:left="1080"/>
        <w:rPr>
          <w:rFonts w:ascii="Helvetica" w:hAnsi="Helvetica" w:cs="Helvetica"/>
          <w:sz w:val="24"/>
          <w:szCs w:val="24"/>
        </w:rPr>
      </w:pPr>
    </w:p>
    <w:p w14:paraId="4A76125B" w14:textId="50980A67" w:rsidR="008031E8" w:rsidRPr="00291BBC" w:rsidRDefault="008031E8" w:rsidP="008031E8">
      <w:pPr>
        <w:pStyle w:val="ListParagraph"/>
        <w:numPr>
          <w:ilvl w:val="0"/>
          <w:numId w:val="3"/>
        </w:numPr>
        <w:rPr>
          <w:rFonts w:ascii="Century Gothic" w:hAnsi="Century Gothic" w:cs="Helvetica"/>
          <w:b/>
          <w:sz w:val="26"/>
          <w:szCs w:val="26"/>
        </w:rPr>
      </w:pPr>
      <w:r w:rsidRPr="00291BBC">
        <w:rPr>
          <w:rFonts w:ascii="Helvetica" w:hAnsi="Helvetica" w:cs="Helvetica"/>
          <w:b/>
          <w:sz w:val="24"/>
          <w:szCs w:val="24"/>
        </w:rPr>
        <w:t xml:space="preserve"> </w:t>
      </w:r>
      <w:r w:rsidR="008350E6" w:rsidRPr="00291BBC">
        <w:rPr>
          <w:rFonts w:ascii="Century Gothic" w:hAnsi="Century Gothic" w:cs="Helvetica"/>
          <w:b/>
          <w:sz w:val="26"/>
          <w:szCs w:val="26"/>
        </w:rPr>
        <w:t xml:space="preserve">Monitoring arrangements </w:t>
      </w:r>
    </w:p>
    <w:p w14:paraId="73D3E110" w14:textId="77777777" w:rsidR="00291BBC" w:rsidRPr="00291BBC" w:rsidRDefault="00291BBC" w:rsidP="00291BBC">
      <w:pPr>
        <w:pStyle w:val="ListParagraph"/>
        <w:ind w:left="1080"/>
        <w:rPr>
          <w:rFonts w:ascii="Helvetica" w:hAnsi="Helvetica" w:cs="Helvetica"/>
          <w:b/>
          <w:sz w:val="24"/>
          <w:szCs w:val="24"/>
        </w:rPr>
      </w:pPr>
    </w:p>
    <w:p w14:paraId="2EAB0DB8"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t xml:space="preserve">The </w:t>
      </w:r>
      <w:r w:rsidR="00687A49" w:rsidRPr="00291BBC">
        <w:rPr>
          <w:rFonts w:ascii="Helvetica" w:hAnsi="Helvetica" w:cs="Helvetica"/>
          <w:sz w:val="24"/>
          <w:szCs w:val="24"/>
        </w:rPr>
        <w:t xml:space="preserve">Board </w:t>
      </w:r>
      <w:r w:rsidRPr="00291BBC">
        <w:rPr>
          <w:rFonts w:ascii="Helvetica" w:hAnsi="Helvetica" w:cs="Helvetica"/>
          <w:sz w:val="24"/>
          <w:szCs w:val="24"/>
        </w:rPr>
        <w:t xml:space="preserve">of </w:t>
      </w:r>
      <w:r w:rsidR="00687A49" w:rsidRPr="00291BBC">
        <w:rPr>
          <w:rFonts w:ascii="Helvetica" w:hAnsi="Helvetica" w:cs="Helvetica"/>
          <w:sz w:val="24"/>
          <w:szCs w:val="24"/>
        </w:rPr>
        <w:t xml:space="preserve">Directors </w:t>
      </w:r>
      <w:r w:rsidRPr="00291BBC">
        <w:rPr>
          <w:rFonts w:ascii="Helvetica" w:hAnsi="Helvetica" w:cs="Helvetica"/>
          <w:sz w:val="24"/>
          <w:szCs w:val="24"/>
        </w:rPr>
        <w:t xml:space="preserve">is responsible for the implementation of these policies. These policies are reviewed by the </w:t>
      </w:r>
      <w:r w:rsidR="00687A49" w:rsidRPr="00291BBC">
        <w:rPr>
          <w:rFonts w:ascii="Helvetica" w:hAnsi="Helvetica" w:cs="Helvetica"/>
          <w:sz w:val="24"/>
          <w:szCs w:val="24"/>
        </w:rPr>
        <w:t xml:space="preserve">Board </w:t>
      </w:r>
      <w:r w:rsidRPr="00291BBC">
        <w:rPr>
          <w:rFonts w:ascii="Helvetica" w:hAnsi="Helvetica" w:cs="Helvetica"/>
          <w:sz w:val="24"/>
          <w:szCs w:val="24"/>
        </w:rPr>
        <w:t xml:space="preserve">of </w:t>
      </w:r>
      <w:r w:rsidR="00687A49" w:rsidRPr="00291BBC">
        <w:rPr>
          <w:rFonts w:ascii="Helvetica" w:hAnsi="Helvetica" w:cs="Helvetica"/>
          <w:sz w:val="24"/>
          <w:szCs w:val="24"/>
        </w:rPr>
        <w:t>Directors every Autumn Term.</w:t>
      </w:r>
    </w:p>
    <w:p w14:paraId="733A0B74" w14:textId="77777777" w:rsidR="00687A49" w:rsidRPr="00291BBC" w:rsidRDefault="00687A49" w:rsidP="008031E8">
      <w:pPr>
        <w:pStyle w:val="ListParagraph"/>
        <w:ind w:left="1080"/>
        <w:rPr>
          <w:rFonts w:ascii="Helvetica" w:hAnsi="Helvetica" w:cs="Helvetica"/>
          <w:sz w:val="24"/>
          <w:szCs w:val="24"/>
        </w:rPr>
      </w:pPr>
    </w:p>
    <w:p w14:paraId="14D66983" w14:textId="67FD880D" w:rsidR="008031E8" w:rsidRPr="00291BBC" w:rsidRDefault="008031E8" w:rsidP="008031E8">
      <w:pPr>
        <w:pStyle w:val="ListParagraph"/>
        <w:numPr>
          <w:ilvl w:val="0"/>
          <w:numId w:val="3"/>
        </w:numPr>
        <w:rPr>
          <w:rFonts w:ascii="Century Gothic" w:hAnsi="Century Gothic" w:cs="Helvetica"/>
          <w:b/>
          <w:sz w:val="26"/>
          <w:szCs w:val="26"/>
        </w:rPr>
      </w:pPr>
      <w:r w:rsidRPr="00291BBC">
        <w:rPr>
          <w:rFonts w:ascii="Helvetica" w:hAnsi="Helvetica" w:cs="Helvetica"/>
          <w:b/>
          <w:sz w:val="24"/>
          <w:szCs w:val="24"/>
        </w:rPr>
        <w:t xml:space="preserve"> </w:t>
      </w:r>
      <w:r w:rsidR="008350E6" w:rsidRPr="00291BBC">
        <w:rPr>
          <w:rFonts w:ascii="Century Gothic" w:hAnsi="Century Gothic" w:cs="Helvetica"/>
          <w:b/>
          <w:sz w:val="26"/>
          <w:szCs w:val="26"/>
        </w:rPr>
        <w:t xml:space="preserve">Links with other policies </w:t>
      </w:r>
    </w:p>
    <w:p w14:paraId="04595755" w14:textId="77777777" w:rsidR="00291BBC" w:rsidRPr="00291BBC" w:rsidRDefault="00291BBC" w:rsidP="00291BBC">
      <w:pPr>
        <w:pStyle w:val="ListParagraph"/>
        <w:ind w:left="1080"/>
        <w:rPr>
          <w:rFonts w:ascii="Helvetica" w:hAnsi="Helvetica" w:cs="Helvetica"/>
          <w:b/>
          <w:sz w:val="24"/>
          <w:szCs w:val="24"/>
        </w:rPr>
      </w:pPr>
    </w:p>
    <w:p w14:paraId="009A908C"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t xml:space="preserve">These accounting policies are linked to the: </w:t>
      </w:r>
    </w:p>
    <w:p w14:paraId="44A8090D" w14:textId="77777777" w:rsidR="008031E8"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Charging and remissions policy </w:t>
      </w:r>
    </w:p>
    <w:p w14:paraId="7D70086B" w14:textId="77777777" w:rsidR="00FF3946" w:rsidRPr="00291BBC" w:rsidRDefault="008350E6" w:rsidP="008031E8">
      <w:pPr>
        <w:pStyle w:val="ListParagraph"/>
        <w:ind w:left="1080"/>
        <w:rPr>
          <w:rFonts w:ascii="Helvetica" w:hAnsi="Helvetica" w:cs="Helvetica"/>
          <w:sz w:val="24"/>
          <w:szCs w:val="24"/>
        </w:rPr>
      </w:pPr>
      <w:r w:rsidRPr="00291BBC">
        <w:rPr>
          <w:rFonts w:ascii="Helvetica" w:hAnsi="Helvetica" w:cs="Helvetica"/>
          <w:sz w:val="24"/>
          <w:szCs w:val="24"/>
        </w:rPr>
        <w:sym w:font="Symbol" w:char="F0B7"/>
      </w:r>
      <w:r w:rsidRPr="00291BBC">
        <w:rPr>
          <w:rFonts w:ascii="Helvetica" w:hAnsi="Helvetica" w:cs="Helvetica"/>
          <w:sz w:val="24"/>
          <w:szCs w:val="24"/>
        </w:rPr>
        <w:t xml:space="preserve"> Gifts and hospitality policy</w:t>
      </w:r>
    </w:p>
    <w:p w14:paraId="6E62FC90" w14:textId="77777777" w:rsidR="00BA1703" w:rsidRPr="00291BBC" w:rsidRDefault="00BA1703" w:rsidP="008031E8">
      <w:pPr>
        <w:pStyle w:val="ListParagraph"/>
        <w:ind w:left="1080"/>
        <w:rPr>
          <w:rFonts w:ascii="Helvetica" w:hAnsi="Helvetica" w:cs="Helvetica"/>
          <w:sz w:val="24"/>
          <w:szCs w:val="24"/>
        </w:rPr>
      </w:pPr>
    </w:p>
    <w:p w14:paraId="581F4B28" w14:textId="77777777" w:rsidR="00B642D2" w:rsidRPr="00291BBC" w:rsidRDefault="00B642D2" w:rsidP="008031E8">
      <w:pPr>
        <w:pStyle w:val="ListParagraph"/>
        <w:ind w:left="1080"/>
        <w:rPr>
          <w:rFonts w:ascii="Helvetica" w:hAnsi="Helvetica" w:cs="Helvetica"/>
          <w:sz w:val="24"/>
          <w:szCs w:val="24"/>
        </w:rPr>
      </w:pPr>
    </w:p>
    <w:p w14:paraId="43931C64" w14:textId="77777777" w:rsidR="00B642D2" w:rsidRPr="00291BBC" w:rsidRDefault="00B642D2" w:rsidP="008031E8">
      <w:pPr>
        <w:pStyle w:val="ListParagraph"/>
        <w:ind w:left="1080"/>
        <w:rPr>
          <w:rFonts w:ascii="Helvetica" w:hAnsi="Helvetica" w:cs="Helvetica"/>
          <w:sz w:val="24"/>
          <w:szCs w:val="24"/>
        </w:rPr>
      </w:pPr>
    </w:p>
    <w:p w14:paraId="7DB50084" w14:textId="77777777" w:rsidR="00B642D2" w:rsidRPr="00291BBC" w:rsidRDefault="00B642D2" w:rsidP="008031E8">
      <w:pPr>
        <w:pStyle w:val="ListParagraph"/>
        <w:ind w:left="1080"/>
        <w:rPr>
          <w:rFonts w:ascii="Helvetica" w:hAnsi="Helvetica" w:cs="Helvetica"/>
          <w:sz w:val="24"/>
          <w:szCs w:val="24"/>
        </w:rPr>
      </w:pPr>
    </w:p>
    <w:p w14:paraId="23E1C024" w14:textId="77777777" w:rsidR="00687A49" w:rsidRPr="00291BBC" w:rsidRDefault="00687A49" w:rsidP="008031E8">
      <w:pPr>
        <w:pStyle w:val="ListParagraph"/>
        <w:ind w:left="1080"/>
        <w:rPr>
          <w:rFonts w:ascii="Helvetica" w:hAnsi="Helvetica" w:cs="Helvetica"/>
          <w:sz w:val="24"/>
          <w:szCs w:val="24"/>
        </w:rPr>
      </w:pPr>
    </w:p>
    <w:p w14:paraId="2694E60B" w14:textId="77777777" w:rsidR="00BA1703" w:rsidRPr="00291BBC" w:rsidRDefault="00BA1703" w:rsidP="008031E8">
      <w:pPr>
        <w:pStyle w:val="ListParagraph"/>
        <w:ind w:left="1080"/>
        <w:rPr>
          <w:rFonts w:ascii="Helvetica" w:hAnsi="Helvetica" w:cs="Helvetica"/>
          <w:sz w:val="24"/>
          <w:szCs w:val="24"/>
        </w:rPr>
      </w:pPr>
    </w:p>
    <w:p w14:paraId="3949F9FB" w14:textId="77777777" w:rsidR="00207202" w:rsidRPr="00291BBC" w:rsidRDefault="00207202" w:rsidP="008031E8">
      <w:pPr>
        <w:pStyle w:val="ListParagraph"/>
        <w:ind w:left="1080"/>
        <w:rPr>
          <w:rFonts w:ascii="Helvetica" w:hAnsi="Helvetica" w:cs="Helvetica"/>
          <w:sz w:val="24"/>
          <w:szCs w:val="24"/>
        </w:rPr>
      </w:pPr>
    </w:p>
    <w:p w14:paraId="6607DEAF" w14:textId="77777777" w:rsidR="00207202" w:rsidRPr="00291BBC" w:rsidRDefault="00207202" w:rsidP="008031E8">
      <w:pPr>
        <w:pStyle w:val="ListParagraph"/>
        <w:ind w:left="1080"/>
        <w:rPr>
          <w:rFonts w:ascii="Helvetica" w:hAnsi="Helvetica" w:cs="Helvetica"/>
          <w:sz w:val="24"/>
          <w:szCs w:val="24"/>
        </w:rPr>
      </w:pPr>
    </w:p>
    <w:p w14:paraId="56F6CADF" w14:textId="77777777" w:rsidR="00207202" w:rsidRPr="00291BBC" w:rsidRDefault="00207202" w:rsidP="008031E8">
      <w:pPr>
        <w:pStyle w:val="ListParagraph"/>
        <w:ind w:left="1080"/>
        <w:rPr>
          <w:rFonts w:ascii="Helvetica" w:hAnsi="Helvetica" w:cs="Helvetica"/>
          <w:sz w:val="24"/>
          <w:szCs w:val="24"/>
        </w:rPr>
      </w:pPr>
    </w:p>
    <w:p w14:paraId="54D1AB0C" w14:textId="77777777" w:rsidR="00207202" w:rsidRPr="00291BBC" w:rsidRDefault="00207202" w:rsidP="008031E8">
      <w:pPr>
        <w:pStyle w:val="ListParagraph"/>
        <w:ind w:left="1080"/>
        <w:rPr>
          <w:rFonts w:ascii="Helvetica" w:hAnsi="Helvetica" w:cs="Helvetica"/>
          <w:sz w:val="24"/>
          <w:szCs w:val="24"/>
        </w:rPr>
      </w:pPr>
    </w:p>
    <w:p w14:paraId="0A9BC3A1" w14:textId="77777777" w:rsidR="00207202" w:rsidRPr="00291BBC" w:rsidRDefault="00207202" w:rsidP="008031E8">
      <w:pPr>
        <w:pStyle w:val="ListParagraph"/>
        <w:ind w:left="1080"/>
        <w:rPr>
          <w:rFonts w:ascii="Helvetica" w:hAnsi="Helvetica" w:cs="Helvetica"/>
          <w:sz w:val="24"/>
          <w:szCs w:val="24"/>
        </w:rPr>
      </w:pPr>
    </w:p>
    <w:p w14:paraId="14ACA9EB" w14:textId="77777777" w:rsidR="00207202" w:rsidRPr="00291BBC" w:rsidRDefault="00207202" w:rsidP="008031E8">
      <w:pPr>
        <w:pStyle w:val="ListParagraph"/>
        <w:ind w:left="1080"/>
        <w:rPr>
          <w:rFonts w:ascii="Helvetica" w:hAnsi="Helvetica" w:cs="Helvetica"/>
          <w:sz w:val="24"/>
          <w:szCs w:val="24"/>
        </w:rPr>
      </w:pPr>
    </w:p>
    <w:p w14:paraId="3EFF5937" w14:textId="77777777" w:rsidR="00207202" w:rsidRPr="00291BBC" w:rsidRDefault="00207202" w:rsidP="008031E8">
      <w:pPr>
        <w:pStyle w:val="ListParagraph"/>
        <w:ind w:left="1080"/>
        <w:rPr>
          <w:rFonts w:ascii="Helvetica" w:hAnsi="Helvetica" w:cs="Helvetica"/>
          <w:sz w:val="24"/>
          <w:szCs w:val="24"/>
        </w:rPr>
      </w:pPr>
    </w:p>
    <w:p w14:paraId="650E5956" w14:textId="77777777" w:rsidR="00207202" w:rsidRPr="00291BBC" w:rsidRDefault="00207202" w:rsidP="008031E8">
      <w:pPr>
        <w:pStyle w:val="ListParagraph"/>
        <w:ind w:left="1080"/>
        <w:rPr>
          <w:rFonts w:ascii="Helvetica" w:hAnsi="Helvetica" w:cs="Helvetica"/>
          <w:sz w:val="24"/>
          <w:szCs w:val="24"/>
        </w:rPr>
      </w:pPr>
    </w:p>
    <w:p w14:paraId="72862795" w14:textId="77777777" w:rsidR="00207202" w:rsidRPr="00291BBC" w:rsidRDefault="00207202" w:rsidP="008031E8">
      <w:pPr>
        <w:pStyle w:val="ListParagraph"/>
        <w:ind w:left="1080"/>
        <w:rPr>
          <w:rFonts w:ascii="Helvetica" w:hAnsi="Helvetica" w:cs="Helvetica"/>
          <w:sz w:val="24"/>
          <w:szCs w:val="24"/>
        </w:rPr>
      </w:pPr>
    </w:p>
    <w:p w14:paraId="1FA97C30" w14:textId="77777777" w:rsidR="00207202" w:rsidRPr="00291BBC" w:rsidRDefault="00207202" w:rsidP="008031E8">
      <w:pPr>
        <w:pStyle w:val="ListParagraph"/>
        <w:ind w:left="1080"/>
        <w:rPr>
          <w:rFonts w:ascii="Helvetica" w:hAnsi="Helvetica" w:cs="Helvetica"/>
          <w:sz w:val="24"/>
          <w:szCs w:val="24"/>
        </w:rPr>
      </w:pPr>
    </w:p>
    <w:p w14:paraId="440DF70F" w14:textId="77777777" w:rsidR="00207202" w:rsidRPr="00291BBC" w:rsidRDefault="00207202" w:rsidP="008031E8">
      <w:pPr>
        <w:pStyle w:val="ListParagraph"/>
        <w:ind w:left="1080"/>
        <w:rPr>
          <w:rFonts w:ascii="Helvetica" w:hAnsi="Helvetica" w:cs="Helvetica"/>
          <w:sz w:val="24"/>
          <w:szCs w:val="24"/>
        </w:rPr>
      </w:pPr>
    </w:p>
    <w:p w14:paraId="36728A5F" w14:textId="77777777" w:rsidR="00207202" w:rsidRDefault="00207202" w:rsidP="008772CF"/>
    <w:tbl>
      <w:tblPr>
        <w:tblStyle w:val="TableGrid"/>
        <w:tblpPr w:leftFromText="180" w:rightFromText="180" w:vertAnchor="text" w:horzAnchor="margin" w:tblpY="453"/>
        <w:tblW w:w="10065" w:type="dxa"/>
        <w:tblLook w:val="04A0" w:firstRow="1" w:lastRow="0" w:firstColumn="1" w:lastColumn="0" w:noHBand="0" w:noVBand="1"/>
      </w:tblPr>
      <w:tblGrid>
        <w:gridCol w:w="2127"/>
        <w:gridCol w:w="5954"/>
        <w:gridCol w:w="1984"/>
      </w:tblGrid>
      <w:tr w:rsidR="002F23DB" w:rsidRPr="00D17F69" w14:paraId="1E14218F" w14:textId="77777777" w:rsidTr="002F23DB">
        <w:tc>
          <w:tcPr>
            <w:tcW w:w="2127" w:type="dxa"/>
          </w:tcPr>
          <w:p w14:paraId="15406815" w14:textId="49D200D1" w:rsidR="002F23DB" w:rsidRPr="00D17F69" w:rsidRDefault="00D17F69" w:rsidP="002F23DB">
            <w:pPr>
              <w:rPr>
                <w:rFonts w:ascii="Helvetica" w:hAnsi="Helvetica" w:cs="Helvetica"/>
                <w:b/>
              </w:rPr>
            </w:pPr>
            <w:r w:rsidRPr="00D17F69">
              <w:rPr>
                <w:rFonts w:ascii="Helvetica" w:hAnsi="Helvetica" w:cs="Helvetica"/>
                <w:b/>
              </w:rPr>
              <w:lastRenderedPageBreak/>
              <w:t xml:space="preserve">V1 </w:t>
            </w:r>
            <w:r w:rsidR="002F23DB" w:rsidRPr="00D17F69">
              <w:rPr>
                <w:rFonts w:ascii="Helvetica" w:hAnsi="Helvetica" w:cs="Helvetica"/>
                <w:b/>
              </w:rPr>
              <w:t>November 2020</w:t>
            </w:r>
            <w:r w:rsidRPr="00D17F69">
              <w:rPr>
                <w:rFonts w:ascii="Helvetica" w:hAnsi="Helvetica" w:cs="Helvetica"/>
                <w:b/>
              </w:rPr>
              <w:t xml:space="preserve"> </w:t>
            </w:r>
          </w:p>
        </w:tc>
        <w:tc>
          <w:tcPr>
            <w:tcW w:w="5954" w:type="dxa"/>
          </w:tcPr>
          <w:p w14:paraId="62E5BA21" w14:textId="77777777" w:rsidR="002F23DB" w:rsidRPr="00D17F69" w:rsidRDefault="002F23DB" w:rsidP="002F23DB">
            <w:pPr>
              <w:rPr>
                <w:rFonts w:ascii="Helvetica" w:hAnsi="Helvetica" w:cs="Helvetica"/>
              </w:rPr>
            </w:pPr>
            <w:r w:rsidRPr="00D17F69">
              <w:rPr>
                <w:rFonts w:ascii="Helvetica" w:hAnsi="Helvetica" w:cs="Helvetica"/>
              </w:rPr>
              <w:t>Amendment</w:t>
            </w:r>
          </w:p>
        </w:tc>
        <w:tc>
          <w:tcPr>
            <w:tcW w:w="1984" w:type="dxa"/>
          </w:tcPr>
          <w:p w14:paraId="22226F4A" w14:textId="77777777" w:rsidR="002F23DB" w:rsidRPr="00D17F69" w:rsidRDefault="002F23DB" w:rsidP="002F23DB">
            <w:pPr>
              <w:rPr>
                <w:rFonts w:ascii="Helvetica" w:hAnsi="Helvetica" w:cs="Helvetica"/>
              </w:rPr>
            </w:pPr>
            <w:r w:rsidRPr="00D17F69">
              <w:rPr>
                <w:rFonts w:ascii="Helvetica" w:hAnsi="Helvetica" w:cs="Helvetica"/>
              </w:rPr>
              <w:t>By who</w:t>
            </w:r>
          </w:p>
        </w:tc>
      </w:tr>
      <w:tr w:rsidR="002F23DB" w:rsidRPr="00D17F69" w14:paraId="333F6779" w14:textId="77777777" w:rsidTr="002F23DB">
        <w:tc>
          <w:tcPr>
            <w:tcW w:w="2127" w:type="dxa"/>
          </w:tcPr>
          <w:p w14:paraId="05581CDB" w14:textId="77777777" w:rsidR="002F23DB" w:rsidRPr="00D17F69" w:rsidRDefault="002F23DB" w:rsidP="002F23DB">
            <w:pPr>
              <w:rPr>
                <w:rFonts w:ascii="Helvetica" w:hAnsi="Helvetica" w:cs="Helvetica"/>
              </w:rPr>
            </w:pPr>
            <w:r w:rsidRPr="00D17F69">
              <w:rPr>
                <w:rFonts w:ascii="Helvetica" w:hAnsi="Helvetica" w:cs="Helvetica"/>
              </w:rPr>
              <w:t>1. Aims</w:t>
            </w:r>
          </w:p>
        </w:tc>
        <w:tc>
          <w:tcPr>
            <w:tcW w:w="5954" w:type="dxa"/>
          </w:tcPr>
          <w:p w14:paraId="2057AFFD" w14:textId="77777777" w:rsidR="002F23DB" w:rsidRPr="00D17F69" w:rsidRDefault="002F23DB" w:rsidP="002F23DB">
            <w:pPr>
              <w:rPr>
                <w:rFonts w:ascii="Helvetica" w:hAnsi="Helvetica" w:cs="Helvetica"/>
              </w:rPr>
            </w:pPr>
            <w:r w:rsidRPr="00D17F69">
              <w:rPr>
                <w:rFonts w:ascii="Helvetica" w:hAnsi="Helvetica" w:cs="Helvetica"/>
              </w:rPr>
              <w:t xml:space="preserve">As per paragraph </w:t>
            </w:r>
            <w:r w:rsidRPr="00D17F69">
              <w:rPr>
                <w:rFonts w:ascii="Helvetica" w:hAnsi="Helvetica" w:cs="Helvetica"/>
                <w:color w:val="FF0000"/>
              </w:rPr>
              <w:t xml:space="preserve">7.3.1 </w:t>
            </w:r>
            <w:r w:rsidRPr="00D17F69">
              <w:rPr>
                <w:rFonts w:ascii="Helvetica" w:hAnsi="Helvetica" w:cs="Helvetica"/>
              </w:rPr>
              <w:t xml:space="preserve">of the Education and Skills Funding Agency’s Academies Accounts Direction </w:t>
            </w:r>
            <w:r w:rsidRPr="00D17F69">
              <w:rPr>
                <w:rFonts w:ascii="Helvetica" w:hAnsi="Helvetica" w:cs="Helvetica"/>
                <w:color w:val="FF0000"/>
              </w:rPr>
              <w:t>2017 to 2018</w:t>
            </w:r>
            <w:r w:rsidRPr="00D17F69">
              <w:rPr>
                <w:rFonts w:ascii="Helvetica" w:hAnsi="Helvetica" w:cs="Helvetica"/>
              </w:rPr>
              <w:t>,</w:t>
            </w:r>
          </w:p>
        </w:tc>
        <w:tc>
          <w:tcPr>
            <w:tcW w:w="1984" w:type="dxa"/>
          </w:tcPr>
          <w:p w14:paraId="5F0739C0" w14:textId="77777777" w:rsidR="002F23DB" w:rsidRPr="00D17F69" w:rsidRDefault="002F23DB" w:rsidP="002F23DB">
            <w:pPr>
              <w:rPr>
                <w:rFonts w:ascii="Helvetica" w:hAnsi="Helvetica" w:cs="Helvetica"/>
                <w:bCs/>
              </w:rPr>
            </w:pPr>
            <w:r w:rsidRPr="00D17F69">
              <w:rPr>
                <w:rFonts w:ascii="Helvetica" w:hAnsi="Helvetica" w:cs="Helvetica"/>
                <w:bCs/>
              </w:rPr>
              <w:t>CFO</w:t>
            </w:r>
          </w:p>
        </w:tc>
      </w:tr>
      <w:tr w:rsidR="002F23DB" w:rsidRPr="00D17F69" w14:paraId="6B680538" w14:textId="77777777" w:rsidTr="002F23DB">
        <w:tc>
          <w:tcPr>
            <w:tcW w:w="2127" w:type="dxa"/>
          </w:tcPr>
          <w:p w14:paraId="227155F0" w14:textId="77777777" w:rsidR="002F23DB" w:rsidRPr="00D17F69" w:rsidRDefault="002F23DB" w:rsidP="002F23DB">
            <w:pPr>
              <w:pStyle w:val="ListParagraph"/>
              <w:numPr>
                <w:ilvl w:val="0"/>
                <w:numId w:val="5"/>
              </w:numPr>
              <w:rPr>
                <w:rFonts w:ascii="Helvetica" w:hAnsi="Helvetica" w:cs="Helvetica"/>
              </w:rPr>
            </w:pPr>
            <w:r w:rsidRPr="00D17F69">
              <w:rPr>
                <w:rFonts w:ascii="Helvetica" w:hAnsi="Helvetica" w:cs="Helvetica"/>
              </w:rPr>
              <w:t xml:space="preserve">Legislation and statutory requirements </w:t>
            </w:r>
          </w:p>
          <w:p w14:paraId="70FAAEE0" w14:textId="77777777" w:rsidR="002F23DB" w:rsidRPr="00D17F69" w:rsidRDefault="002F23DB" w:rsidP="002F23DB">
            <w:pPr>
              <w:rPr>
                <w:rFonts w:ascii="Helvetica" w:hAnsi="Helvetica" w:cs="Helvetica"/>
              </w:rPr>
            </w:pPr>
          </w:p>
        </w:tc>
        <w:tc>
          <w:tcPr>
            <w:tcW w:w="5954" w:type="dxa"/>
          </w:tcPr>
          <w:p w14:paraId="5C13CDA5" w14:textId="77777777" w:rsidR="002F23DB" w:rsidRPr="00D17F69" w:rsidRDefault="002F23DB" w:rsidP="002F23DB">
            <w:pPr>
              <w:rPr>
                <w:rFonts w:ascii="Helvetica" w:hAnsi="Helvetica" w:cs="Helvetica"/>
              </w:rPr>
            </w:pPr>
            <w:r w:rsidRPr="00D17F69">
              <w:rPr>
                <w:rFonts w:ascii="Helvetica" w:hAnsi="Helvetica" w:cs="Helvetica"/>
              </w:rPr>
              <w:t xml:space="preserve">The Academies Accounts Direction </w:t>
            </w:r>
            <w:r w:rsidRPr="00D17F69">
              <w:rPr>
                <w:rFonts w:ascii="Helvetica" w:hAnsi="Helvetica" w:cs="Helvetica"/>
                <w:color w:val="FF0000"/>
              </w:rPr>
              <w:t xml:space="preserve">2017 to 2018 </w:t>
            </w:r>
            <w:r w:rsidRPr="00D17F69">
              <w:rPr>
                <w:rFonts w:ascii="Helvetica" w:hAnsi="Helvetica" w:cs="Helvetica"/>
              </w:rPr>
              <w:t>is based</w:t>
            </w:r>
          </w:p>
        </w:tc>
        <w:tc>
          <w:tcPr>
            <w:tcW w:w="1984" w:type="dxa"/>
          </w:tcPr>
          <w:p w14:paraId="7EC51FF5" w14:textId="77777777" w:rsidR="002F23DB" w:rsidRPr="00D17F69" w:rsidRDefault="002F23DB" w:rsidP="002F23DB">
            <w:pPr>
              <w:rPr>
                <w:rFonts w:ascii="Helvetica" w:hAnsi="Helvetica" w:cs="Helvetica"/>
                <w:bCs/>
              </w:rPr>
            </w:pPr>
            <w:r w:rsidRPr="00D17F69">
              <w:rPr>
                <w:rFonts w:ascii="Helvetica" w:hAnsi="Helvetica" w:cs="Helvetica"/>
                <w:bCs/>
              </w:rPr>
              <w:t>CFO</w:t>
            </w:r>
          </w:p>
        </w:tc>
      </w:tr>
      <w:tr w:rsidR="002F23DB" w:rsidRPr="00D17F69" w14:paraId="423D9CA8" w14:textId="77777777" w:rsidTr="002F23DB">
        <w:tc>
          <w:tcPr>
            <w:tcW w:w="2127" w:type="dxa"/>
          </w:tcPr>
          <w:p w14:paraId="109D2211" w14:textId="77777777" w:rsidR="002F23DB" w:rsidRPr="00D17F69" w:rsidRDefault="002F23DB" w:rsidP="002F23DB">
            <w:pPr>
              <w:pStyle w:val="ListParagraph"/>
              <w:numPr>
                <w:ilvl w:val="0"/>
                <w:numId w:val="5"/>
              </w:numPr>
              <w:rPr>
                <w:rFonts w:ascii="Helvetica" w:hAnsi="Helvetica" w:cs="Helvetica"/>
              </w:rPr>
            </w:pPr>
            <w:r w:rsidRPr="00D17F69">
              <w:rPr>
                <w:rFonts w:ascii="Helvetica" w:hAnsi="Helvetica" w:cs="Helvetica"/>
              </w:rPr>
              <w:t>Roles and Responsibilities</w:t>
            </w:r>
          </w:p>
        </w:tc>
        <w:tc>
          <w:tcPr>
            <w:tcW w:w="5954" w:type="dxa"/>
          </w:tcPr>
          <w:p w14:paraId="7730AF3A" w14:textId="77777777" w:rsidR="002F23DB" w:rsidRPr="00D17F69" w:rsidRDefault="002F23DB" w:rsidP="002F23DB">
            <w:pPr>
              <w:rPr>
                <w:rFonts w:ascii="Helvetica" w:hAnsi="Helvetica" w:cs="Helvetica"/>
              </w:rPr>
            </w:pPr>
            <w:r w:rsidRPr="00D17F69">
              <w:rPr>
                <w:rFonts w:ascii="Helvetica" w:hAnsi="Helvetica" w:cs="Helvetica"/>
              </w:rPr>
              <w:t xml:space="preserve">As per the Academies Accounts Direction </w:t>
            </w:r>
            <w:r w:rsidRPr="00D17F69">
              <w:rPr>
                <w:rFonts w:ascii="Helvetica" w:hAnsi="Helvetica" w:cs="Helvetica"/>
                <w:color w:val="FF0000"/>
              </w:rPr>
              <w:t>2017 to 2018</w:t>
            </w:r>
          </w:p>
        </w:tc>
        <w:tc>
          <w:tcPr>
            <w:tcW w:w="1984" w:type="dxa"/>
          </w:tcPr>
          <w:p w14:paraId="21BF4819" w14:textId="77777777" w:rsidR="002F23DB" w:rsidRPr="00D17F69" w:rsidRDefault="002F23DB" w:rsidP="002F23DB">
            <w:pPr>
              <w:rPr>
                <w:rFonts w:ascii="Helvetica" w:hAnsi="Helvetica" w:cs="Helvetica"/>
                <w:bCs/>
              </w:rPr>
            </w:pPr>
            <w:r w:rsidRPr="00D17F69">
              <w:rPr>
                <w:rFonts w:ascii="Helvetica" w:hAnsi="Helvetica" w:cs="Helvetica"/>
                <w:bCs/>
              </w:rPr>
              <w:t>CFO</w:t>
            </w:r>
          </w:p>
        </w:tc>
      </w:tr>
      <w:tr w:rsidR="002F23DB" w:rsidRPr="00D17F69" w14:paraId="38C694C7" w14:textId="77777777" w:rsidTr="002F23DB">
        <w:tc>
          <w:tcPr>
            <w:tcW w:w="2127" w:type="dxa"/>
          </w:tcPr>
          <w:p w14:paraId="50AFAE00" w14:textId="12E8C0AD" w:rsidR="002F23DB" w:rsidRPr="00D17F69" w:rsidRDefault="00D17F69" w:rsidP="002F23DB">
            <w:pPr>
              <w:rPr>
                <w:rFonts w:ascii="Helvetica" w:hAnsi="Helvetica" w:cs="Helvetica"/>
                <w:b/>
              </w:rPr>
            </w:pPr>
            <w:r w:rsidRPr="00D17F69">
              <w:rPr>
                <w:rFonts w:ascii="Helvetica" w:hAnsi="Helvetica" w:cs="Helvetica"/>
                <w:b/>
              </w:rPr>
              <w:t xml:space="preserve">V2 </w:t>
            </w:r>
            <w:r w:rsidR="002F23DB" w:rsidRPr="00D17F69">
              <w:rPr>
                <w:rFonts w:ascii="Helvetica" w:hAnsi="Helvetica" w:cs="Helvetica"/>
                <w:b/>
              </w:rPr>
              <w:t>November 2021</w:t>
            </w:r>
          </w:p>
        </w:tc>
        <w:tc>
          <w:tcPr>
            <w:tcW w:w="5954" w:type="dxa"/>
          </w:tcPr>
          <w:p w14:paraId="7EB30F16" w14:textId="77777777" w:rsidR="002F23DB" w:rsidRPr="00D17F69" w:rsidRDefault="002F23DB" w:rsidP="002F23DB">
            <w:pPr>
              <w:rPr>
                <w:rFonts w:ascii="Helvetica" w:hAnsi="Helvetica" w:cs="Helvetica"/>
                <w:b/>
              </w:rPr>
            </w:pPr>
          </w:p>
        </w:tc>
        <w:tc>
          <w:tcPr>
            <w:tcW w:w="1984" w:type="dxa"/>
          </w:tcPr>
          <w:p w14:paraId="3656BE12" w14:textId="77777777" w:rsidR="002F23DB" w:rsidRPr="00D17F69" w:rsidRDefault="002F23DB" w:rsidP="002F23DB">
            <w:pPr>
              <w:rPr>
                <w:rFonts w:ascii="Helvetica" w:hAnsi="Helvetica" w:cs="Helvetica"/>
                <w:bCs/>
              </w:rPr>
            </w:pPr>
          </w:p>
        </w:tc>
      </w:tr>
      <w:tr w:rsidR="002F23DB" w:rsidRPr="00D17F69" w14:paraId="6C6711CF" w14:textId="77777777" w:rsidTr="002F23DB">
        <w:tc>
          <w:tcPr>
            <w:tcW w:w="2127" w:type="dxa"/>
          </w:tcPr>
          <w:p w14:paraId="354660C6" w14:textId="77777777" w:rsidR="002F23DB" w:rsidRPr="00D17F69" w:rsidRDefault="002F23DB" w:rsidP="002F23DB">
            <w:pPr>
              <w:rPr>
                <w:rFonts w:ascii="Helvetica" w:hAnsi="Helvetica" w:cs="Helvetica"/>
              </w:rPr>
            </w:pPr>
            <w:r w:rsidRPr="00D17F69">
              <w:rPr>
                <w:rFonts w:ascii="Helvetica" w:hAnsi="Helvetica" w:cs="Helvetica"/>
              </w:rPr>
              <w:t>1. Aims</w:t>
            </w:r>
          </w:p>
        </w:tc>
        <w:tc>
          <w:tcPr>
            <w:tcW w:w="5954" w:type="dxa"/>
          </w:tcPr>
          <w:p w14:paraId="67FB5488"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As per paragraph 7.1.3 of the Education and Skills Funding Agency’s Academies Accounts Direction </w:t>
            </w:r>
            <w:r w:rsidRPr="00D17F69">
              <w:rPr>
                <w:rFonts w:ascii="Helvetica" w:hAnsi="Helvetica" w:cs="Helvetica"/>
                <w:color w:val="FF0000"/>
              </w:rPr>
              <w:t>2019 to 2020</w:t>
            </w:r>
          </w:p>
          <w:p w14:paraId="2FE6E5FC" w14:textId="77777777" w:rsidR="002F23DB" w:rsidRPr="00D17F69" w:rsidRDefault="002F23DB" w:rsidP="002F23DB">
            <w:pPr>
              <w:rPr>
                <w:rFonts w:ascii="Helvetica" w:hAnsi="Helvetica" w:cs="Helvetica"/>
              </w:rPr>
            </w:pPr>
            <w:r w:rsidRPr="00D17F69">
              <w:rPr>
                <w:rFonts w:ascii="Helvetica" w:hAnsi="Helvetica" w:cs="Helvetica"/>
              </w:rPr>
              <w:t>Date changed to 2020-2021</w:t>
            </w:r>
          </w:p>
        </w:tc>
        <w:tc>
          <w:tcPr>
            <w:tcW w:w="1984" w:type="dxa"/>
          </w:tcPr>
          <w:p w14:paraId="4811C2B2"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4D56D805" w14:textId="77777777" w:rsidTr="002F23DB">
        <w:tc>
          <w:tcPr>
            <w:tcW w:w="2127" w:type="dxa"/>
          </w:tcPr>
          <w:p w14:paraId="492328A9" w14:textId="77777777" w:rsidR="002F23DB" w:rsidRPr="00D17F69" w:rsidRDefault="002F23DB" w:rsidP="002F23DB">
            <w:pPr>
              <w:rPr>
                <w:rFonts w:ascii="Helvetica" w:hAnsi="Helvetica" w:cs="Helvetica"/>
              </w:rPr>
            </w:pPr>
            <w:r w:rsidRPr="00D17F69">
              <w:rPr>
                <w:rFonts w:ascii="Helvetica" w:hAnsi="Helvetica" w:cs="Helvetica"/>
              </w:rPr>
              <w:t xml:space="preserve">2. Legislation and statutory requirements </w:t>
            </w:r>
          </w:p>
          <w:p w14:paraId="64DBBBFA" w14:textId="77777777" w:rsidR="002F23DB" w:rsidRPr="00D17F69" w:rsidRDefault="002F23DB" w:rsidP="002F23DB">
            <w:pPr>
              <w:pStyle w:val="ListParagraph"/>
              <w:ind w:left="360"/>
              <w:rPr>
                <w:rFonts w:ascii="Helvetica" w:hAnsi="Helvetica" w:cs="Helvetica"/>
              </w:rPr>
            </w:pPr>
          </w:p>
        </w:tc>
        <w:tc>
          <w:tcPr>
            <w:tcW w:w="5954" w:type="dxa"/>
          </w:tcPr>
          <w:p w14:paraId="5CC744D4" w14:textId="77777777" w:rsidR="002F23DB" w:rsidRPr="00D17F69" w:rsidRDefault="002F23DB" w:rsidP="002F23DB">
            <w:pPr>
              <w:rPr>
                <w:rFonts w:ascii="Helvetica" w:hAnsi="Helvetica" w:cs="Helvetica"/>
              </w:rPr>
            </w:pPr>
            <w:r w:rsidRPr="00D17F69">
              <w:rPr>
                <w:rFonts w:ascii="Helvetica" w:hAnsi="Helvetica" w:cs="Helvetica"/>
              </w:rPr>
              <w:t>Hyper link to the Academies Financial Handbook- updated to 2021 Academy Trust Handbook</w:t>
            </w:r>
          </w:p>
        </w:tc>
        <w:tc>
          <w:tcPr>
            <w:tcW w:w="1984" w:type="dxa"/>
          </w:tcPr>
          <w:p w14:paraId="63A85F24"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7D21BFA6" w14:textId="77777777" w:rsidTr="002F23DB">
        <w:tc>
          <w:tcPr>
            <w:tcW w:w="2127" w:type="dxa"/>
          </w:tcPr>
          <w:p w14:paraId="17AA1FE5" w14:textId="77777777" w:rsidR="002F23DB" w:rsidRPr="00D17F69" w:rsidRDefault="002F23DB" w:rsidP="002F23DB">
            <w:pPr>
              <w:rPr>
                <w:rFonts w:ascii="Helvetica" w:hAnsi="Helvetica" w:cs="Helvetica"/>
              </w:rPr>
            </w:pPr>
            <w:r w:rsidRPr="00D17F69">
              <w:rPr>
                <w:rFonts w:ascii="Helvetica" w:hAnsi="Helvetica" w:cs="Helvetica"/>
              </w:rPr>
              <w:t xml:space="preserve">2. Legislation and statutory requirements </w:t>
            </w:r>
          </w:p>
          <w:p w14:paraId="74965321" w14:textId="77777777" w:rsidR="002F23DB" w:rsidRPr="00D17F69" w:rsidRDefault="002F23DB" w:rsidP="002F23DB">
            <w:pPr>
              <w:rPr>
                <w:rFonts w:ascii="Helvetica" w:hAnsi="Helvetica" w:cs="Helvetica"/>
              </w:rPr>
            </w:pPr>
          </w:p>
        </w:tc>
        <w:tc>
          <w:tcPr>
            <w:tcW w:w="5954" w:type="dxa"/>
          </w:tcPr>
          <w:p w14:paraId="46000902"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The Academies Accounts Direction </w:t>
            </w:r>
            <w:r w:rsidRPr="00D17F69">
              <w:rPr>
                <w:rFonts w:ascii="Helvetica" w:hAnsi="Helvetica" w:cs="Helvetica"/>
                <w:color w:val="FF0000"/>
              </w:rPr>
              <w:t>2019 to 2020</w:t>
            </w:r>
          </w:p>
          <w:p w14:paraId="0A665A7C" w14:textId="77777777" w:rsidR="002F23DB" w:rsidRPr="00D17F69" w:rsidRDefault="002F23DB" w:rsidP="002F23DB">
            <w:pPr>
              <w:rPr>
                <w:rFonts w:ascii="Helvetica" w:hAnsi="Helvetica" w:cs="Helvetica"/>
                <w:b/>
              </w:rPr>
            </w:pPr>
            <w:r w:rsidRPr="00D17F69">
              <w:rPr>
                <w:rFonts w:ascii="Helvetica" w:hAnsi="Helvetica" w:cs="Helvetica"/>
              </w:rPr>
              <w:t>Date changed to 2020-2021</w:t>
            </w:r>
          </w:p>
        </w:tc>
        <w:tc>
          <w:tcPr>
            <w:tcW w:w="1984" w:type="dxa"/>
          </w:tcPr>
          <w:p w14:paraId="13AA08D6"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7712BCD4" w14:textId="77777777" w:rsidTr="002F23DB">
        <w:tc>
          <w:tcPr>
            <w:tcW w:w="2127" w:type="dxa"/>
          </w:tcPr>
          <w:p w14:paraId="12C22F34" w14:textId="77777777" w:rsidR="002F23DB" w:rsidRPr="00D17F69" w:rsidRDefault="002F23DB" w:rsidP="002F23DB">
            <w:pPr>
              <w:rPr>
                <w:rFonts w:ascii="Helvetica" w:hAnsi="Helvetica" w:cs="Helvetica"/>
              </w:rPr>
            </w:pPr>
            <w:r w:rsidRPr="00D17F69">
              <w:rPr>
                <w:rFonts w:ascii="Helvetica" w:hAnsi="Helvetica" w:cs="Helvetica"/>
              </w:rPr>
              <w:t>3. Roles and Responsibilities</w:t>
            </w:r>
          </w:p>
        </w:tc>
        <w:tc>
          <w:tcPr>
            <w:tcW w:w="5954" w:type="dxa"/>
          </w:tcPr>
          <w:p w14:paraId="3E99A6F2"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As per the Academies Accounts Direction </w:t>
            </w:r>
            <w:r w:rsidRPr="00D17F69">
              <w:rPr>
                <w:rFonts w:ascii="Helvetica" w:hAnsi="Helvetica" w:cs="Helvetica"/>
                <w:color w:val="FF0000"/>
              </w:rPr>
              <w:t>2017 to 2018</w:t>
            </w:r>
          </w:p>
          <w:p w14:paraId="27A66F94" w14:textId="77777777" w:rsidR="002F23DB" w:rsidRPr="00D17F69" w:rsidRDefault="002F23DB" w:rsidP="002F23DB">
            <w:pPr>
              <w:rPr>
                <w:rFonts w:ascii="Helvetica" w:hAnsi="Helvetica" w:cs="Helvetica"/>
                <w:b/>
              </w:rPr>
            </w:pPr>
            <w:r w:rsidRPr="00D17F69">
              <w:rPr>
                <w:rFonts w:ascii="Helvetica" w:hAnsi="Helvetica" w:cs="Helvetica"/>
              </w:rPr>
              <w:t>Date changed to 2020-2021</w:t>
            </w:r>
          </w:p>
        </w:tc>
        <w:tc>
          <w:tcPr>
            <w:tcW w:w="1984" w:type="dxa"/>
          </w:tcPr>
          <w:p w14:paraId="37133631"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7D4E0FDC" w14:textId="77777777" w:rsidTr="002F23DB">
        <w:tc>
          <w:tcPr>
            <w:tcW w:w="2127" w:type="dxa"/>
          </w:tcPr>
          <w:p w14:paraId="24E318B6" w14:textId="768CC748" w:rsidR="002F23DB" w:rsidRPr="00D17F69" w:rsidRDefault="00D17F69" w:rsidP="002F23DB">
            <w:pPr>
              <w:rPr>
                <w:rFonts w:ascii="Helvetica" w:hAnsi="Helvetica" w:cs="Helvetica"/>
                <w:b/>
                <w:bCs/>
              </w:rPr>
            </w:pPr>
            <w:r w:rsidRPr="00D17F69">
              <w:rPr>
                <w:rFonts w:ascii="Helvetica" w:hAnsi="Helvetica" w:cs="Helvetica"/>
                <w:b/>
                <w:bCs/>
              </w:rPr>
              <w:t xml:space="preserve">V3 </w:t>
            </w:r>
            <w:r w:rsidRPr="00D17F69">
              <w:rPr>
                <w:rFonts w:ascii="Helvetica" w:hAnsi="Helvetica" w:cs="Helvetica"/>
                <w:b/>
              </w:rPr>
              <w:t xml:space="preserve"> November </w:t>
            </w:r>
            <w:r w:rsidR="002F23DB" w:rsidRPr="00D17F69">
              <w:rPr>
                <w:rFonts w:ascii="Helvetica" w:hAnsi="Helvetica" w:cs="Helvetica"/>
                <w:b/>
                <w:bCs/>
              </w:rPr>
              <w:t>2022</w:t>
            </w:r>
          </w:p>
        </w:tc>
        <w:tc>
          <w:tcPr>
            <w:tcW w:w="5954" w:type="dxa"/>
          </w:tcPr>
          <w:p w14:paraId="3737D629" w14:textId="77777777" w:rsidR="002F23DB" w:rsidRPr="00D17F69" w:rsidRDefault="002F23DB" w:rsidP="002F23DB">
            <w:pPr>
              <w:rPr>
                <w:rFonts w:ascii="Helvetica" w:hAnsi="Helvetica" w:cs="Helvetica"/>
              </w:rPr>
            </w:pPr>
          </w:p>
        </w:tc>
        <w:tc>
          <w:tcPr>
            <w:tcW w:w="1984" w:type="dxa"/>
          </w:tcPr>
          <w:p w14:paraId="741FA6C7" w14:textId="77777777" w:rsidR="002F23DB" w:rsidRPr="00D17F69" w:rsidRDefault="002F23DB" w:rsidP="002F23DB">
            <w:pPr>
              <w:rPr>
                <w:rFonts w:ascii="Helvetica" w:hAnsi="Helvetica" w:cs="Helvetica"/>
                <w:bCs/>
              </w:rPr>
            </w:pPr>
          </w:p>
        </w:tc>
      </w:tr>
      <w:tr w:rsidR="002F23DB" w:rsidRPr="00D17F69" w14:paraId="551E70EB" w14:textId="77777777" w:rsidTr="002F23DB">
        <w:tc>
          <w:tcPr>
            <w:tcW w:w="2127" w:type="dxa"/>
          </w:tcPr>
          <w:p w14:paraId="36C35698" w14:textId="77777777" w:rsidR="002F23DB" w:rsidRPr="00D17F69" w:rsidRDefault="002F23DB" w:rsidP="002F23DB">
            <w:pPr>
              <w:rPr>
                <w:rFonts w:ascii="Helvetica" w:hAnsi="Helvetica" w:cs="Helvetica"/>
              </w:rPr>
            </w:pPr>
            <w:r w:rsidRPr="00D17F69">
              <w:rPr>
                <w:rFonts w:ascii="Helvetica" w:hAnsi="Helvetica" w:cs="Helvetica"/>
              </w:rPr>
              <w:t>1. Aims</w:t>
            </w:r>
          </w:p>
        </w:tc>
        <w:tc>
          <w:tcPr>
            <w:tcW w:w="5954" w:type="dxa"/>
          </w:tcPr>
          <w:p w14:paraId="7EDDDFCE"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As per paragraph 7.1.3 of the Education and Skills Funding Agency’s Academies Accounts Direction </w:t>
            </w:r>
            <w:r w:rsidRPr="00D17F69">
              <w:rPr>
                <w:rFonts w:ascii="Helvetica" w:hAnsi="Helvetica" w:cs="Helvetica"/>
                <w:color w:val="FF0000"/>
              </w:rPr>
              <w:t>2020 to 2021</w:t>
            </w:r>
          </w:p>
          <w:p w14:paraId="20DFD2D4" w14:textId="77777777" w:rsidR="002F23DB" w:rsidRPr="00D17F69" w:rsidRDefault="002F23DB" w:rsidP="002F23DB">
            <w:pPr>
              <w:rPr>
                <w:rFonts w:ascii="Helvetica" w:hAnsi="Helvetica" w:cs="Helvetica"/>
              </w:rPr>
            </w:pPr>
            <w:r w:rsidRPr="00D17F69">
              <w:rPr>
                <w:rFonts w:ascii="Helvetica" w:hAnsi="Helvetica" w:cs="Helvetica"/>
              </w:rPr>
              <w:t>Date changed to 2021-2022</w:t>
            </w:r>
          </w:p>
        </w:tc>
        <w:tc>
          <w:tcPr>
            <w:tcW w:w="1984" w:type="dxa"/>
          </w:tcPr>
          <w:p w14:paraId="45A7E58F"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3CA38EC8" w14:textId="77777777" w:rsidTr="002F23DB">
        <w:tc>
          <w:tcPr>
            <w:tcW w:w="2127" w:type="dxa"/>
          </w:tcPr>
          <w:p w14:paraId="0BDEDCA3" w14:textId="77777777" w:rsidR="002F23DB" w:rsidRPr="00D17F69" w:rsidRDefault="002F23DB" w:rsidP="002F23DB">
            <w:pPr>
              <w:rPr>
                <w:rFonts w:ascii="Helvetica" w:hAnsi="Helvetica" w:cs="Helvetica"/>
              </w:rPr>
            </w:pPr>
            <w:r w:rsidRPr="00D17F69">
              <w:rPr>
                <w:rFonts w:ascii="Helvetica" w:hAnsi="Helvetica" w:cs="Helvetica"/>
              </w:rPr>
              <w:t xml:space="preserve">2. Legislation and statutory requirements </w:t>
            </w:r>
          </w:p>
          <w:p w14:paraId="7FC316F4" w14:textId="77777777" w:rsidR="002F23DB" w:rsidRPr="00D17F69" w:rsidRDefault="002F23DB" w:rsidP="002F23DB">
            <w:pPr>
              <w:rPr>
                <w:rFonts w:ascii="Helvetica" w:hAnsi="Helvetica" w:cs="Helvetica"/>
              </w:rPr>
            </w:pPr>
          </w:p>
        </w:tc>
        <w:tc>
          <w:tcPr>
            <w:tcW w:w="5954" w:type="dxa"/>
          </w:tcPr>
          <w:p w14:paraId="7A548240" w14:textId="77777777" w:rsidR="002F23DB" w:rsidRPr="00D17F69" w:rsidRDefault="002F23DB" w:rsidP="002F23DB">
            <w:pPr>
              <w:rPr>
                <w:rFonts w:ascii="Helvetica" w:hAnsi="Helvetica" w:cs="Helvetica"/>
              </w:rPr>
            </w:pPr>
            <w:r w:rsidRPr="00D17F69">
              <w:rPr>
                <w:rFonts w:ascii="Helvetica" w:hAnsi="Helvetica" w:cs="Helvetica"/>
              </w:rPr>
              <w:t>Hyper link to the Academies Financial Handbook- updated to 2022 Academy Trust Handbook</w:t>
            </w:r>
          </w:p>
        </w:tc>
        <w:tc>
          <w:tcPr>
            <w:tcW w:w="1984" w:type="dxa"/>
          </w:tcPr>
          <w:p w14:paraId="1715DBF2"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0026151C" w14:textId="77777777" w:rsidTr="002F23DB">
        <w:tc>
          <w:tcPr>
            <w:tcW w:w="2127" w:type="dxa"/>
          </w:tcPr>
          <w:p w14:paraId="69A96D83" w14:textId="77777777" w:rsidR="002F23DB" w:rsidRPr="00D17F69" w:rsidRDefault="002F23DB" w:rsidP="002F23DB">
            <w:pPr>
              <w:rPr>
                <w:rFonts w:ascii="Helvetica" w:hAnsi="Helvetica" w:cs="Helvetica"/>
              </w:rPr>
            </w:pPr>
            <w:r w:rsidRPr="00D17F69">
              <w:rPr>
                <w:rFonts w:ascii="Helvetica" w:hAnsi="Helvetica" w:cs="Helvetica"/>
              </w:rPr>
              <w:t xml:space="preserve">2. Legislation and statutory requirements </w:t>
            </w:r>
          </w:p>
        </w:tc>
        <w:tc>
          <w:tcPr>
            <w:tcW w:w="5954" w:type="dxa"/>
          </w:tcPr>
          <w:p w14:paraId="23DB3925"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The Academies Accounts Direction </w:t>
            </w:r>
            <w:r w:rsidRPr="00D17F69">
              <w:rPr>
                <w:rFonts w:ascii="Helvetica" w:hAnsi="Helvetica" w:cs="Helvetica"/>
                <w:color w:val="FF0000"/>
              </w:rPr>
              <w:t>2020 to 2021</w:t>
            </w:r>
          </w:p>
          <w:p w14:paraId="2C2C1244" w14:textId="77777777" w:rsidR="002F23DB" w:rsidRPr="00D17F69" w:rsidRDefault="002F23DB" w:rsidP="002F23DB">
            <w:pPr>
              <w:rPr>
                <w:rFonts w:ascii="Helvetica" w:hAnsi="Helvetica" w:cs="Helvetica"/>
              </w:rPr>
            </w:pPr>
            <w:r w:rsidRPr="00D17F69">
              <w:rPr>
                <w:rFonts w:ascii="Helvetica" w:hAnsi="Helvetica" w:cs="Helvetica"/>
              </w:rPr>
              <w:t>Date changed to 2021-2022</w:t>
            </w:r>
          </w:p>
        </w:tc>
        <w:tc>
          <w:tcPr>
            <w:tcW w:w="1984" w:type="dxa"/>
          </w:tcPr>
          <w:p w14:paraId="31C57BAB"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16ECB18D" w14:textId="77777777" w:rsidTr="002F23DB">
        <w:tc>
          <w:tcPr>
            <w:tcW w:w="2127" w:type="dxa"/>
          </w:tcPr>
          <w:p w14:paraId="5004794F" w14:textId="77777777" w:rsidR="002F23DB" w:rsidRPr="00D17F69" w:rsidRDefault="002F23DB" w:rsidP="002F23DB">
            <w:pPr>
              <w:rPr>
                <w:rFonts w:ascii="Helvetica" w:hAnsi="Helvetica" w:cs="Helvetica"/>
              </w:rPr>
            </w:pPr>
            <w:r w:rsidRPr="00D17F69">
              <w:rPr>
                <w:rFonts w:ascii="Helvetica" w:hAnsi="Helvetica" w:cs="Helvetica"/>
              </w:rPr>
              <w:t>3. Roles and Responsibilities</w:t>
            </w:r>
          </w:p>
        </w:tc>
        <w:tc>
          <w:tcPr>
            <w:tcW w:w="5954" w:type="dxa"/>
          </w:tcPr>
          <w:p w14:paraId="56AEB6FF" w14:textId="77777777" w:rsidR="002F23DB" w:rsidRPr="00D17F69" w:rsidRDefault="002F23DB" w:rsidP="002F23DB">
            <w:pPr>
              <w:rPr>
                <w:rFonts w:ascii="Helvetica" w:hAnsi="Helvetica" w:cs="Helvetica"/>
                <w:color w:val="FF0000"/>
              </w:rPr>
            </w:pPr>
            <w:r w:rsidRPr="00D17F69">
              <w:rPr>
                <w:rFonts w:ascii="Helvetica" w:hAnsi="Helvetica" w:cs="Helvetica"/>
              </w:rPr>
              <w:t xml:space="preserve">As per the Academies Accounts Direction </w:t>
            </w:r>
            <w:r w:rsidRPr="00D17F69">
              <w:rPr>
                <w:rFonts w:ascii="Helvetica" w:hAnsi="Helvetica" w:cs="Helvetica"/>
                <w:color w:val="FF0000"/>
              </w:rPr>
              <w:t>2020 to 2021</w:t>
            </w:r>
          </w:p>
          <w:p w14:paraId="07AF4110" w14:textId="77777777" w:rsidR="002F23DB" w:rsidRPr="00D17F69" w:rsidRDefault="002F23DB" w:rsidP="002F23DB">
            <w:pPr>
              <w:rPr>
                <w:rFonts w:ascii="Helvetica" w:hAnsi="Helvetica" w:cs="Helvetica"/>
              </w:rPr>
            </w:pPr>
            <w:r w:rsidRPr="00D17F69">
              <w:rPr>
                <w:rFonts w:ascii="Helvetica" w:hAnsi="Helvetica" w:cs="Helvetica"/>
              </w:rPr>
              <w:t>Date changed to 2021-2022</w:t>
            </w:r>
          </w:p>
        </w:tc>
        <w:tc>
          <w:tcPr>
            <w:tcW w:w="1984" w:type="dxa"/>
          </w:tcPr>
          <w:p w14:paraId="695FAFEB" w14:textId="77777777" w:rsidR="002F23DB" w:rsidRPr="00D17F69" w:rsidRDefault="002F23DB" w:rsidP="002F23DB">
            <w:pPr>
              <w:rPr>
                <w:rFonts w:ascii="Helvetica" w:hAnsi="Helvetica" w:cs="Helvetica"/>
                <w:bCs/>
              </w:rPr>
            </w:pPr>
            <w:r w:rsidRPr="00D17F69">
              <w:rPr>
                <w:rFonts w:ascii="Helvetica" w:hAnsi="Helvetica" w:cs="Helvetica"/>
                <w:bCs/>
              </w:rPr>
              <w:t>CEO</w:t>
            </w:r>
          </w:p>
        </w:tc>
      </w:tr>
      <w:tr w:rsidR="002F23DB" w:rsidRPr="00D17F69" w14:paraId="5B2DD877" w14:textId="77777777" w:rsidTr="002F23DB">
        <w:tc>
          <w:tcPr>
            <w:tcW w:w="2127" w:type="dxa"/>
          </w:tcPr>
          <w:p w14:paraId="11642646" w14:textId="4DA409BF" w:rsidR="002F23DB" w:rsidRPr="00D17F69" w:rsidRDefault="00D17F69" w:rsidP="002F23DB">
            <w:pPr>
              <w:rPr>
                <w:rFonts w:ascii="Helvetica" w:hAnsi="Helvetica" w:cs="Helvetica"/>
                <w:b/>
                <w:bCs/>
              </w:rPr>
            </w:pPr>
            <w:r w:rsidRPr="00D17F69">
              <w:rPr>
                <w:rFonts w:ascii="Helvetica" w:hAnsi="Helvetica" w:cs="Helvetica"/>
                <w:b/>
                <w:bCs/>
              </w:rPr>
              <w:t xml:space="preserve">V4 </w:t>
            </w:r>
            <w:r w:rsidRPr="00D17F69">
              <w:rPr>
                <w:rFonts w:ascii="Helvetica" w:hAnsi="Helvetica" w:cs="Helvetica"/>
                <w:b/>
              </w:rPr>
              <w:t xml:space="preserve"> November </w:t>
            </w:r>
            <w:r w:rsidR="002F23DB" w:rsidRPr="00D17F69">
              <w:rPr>
                <w:rFonts w:ascii="Helvetica" w:hAnsi="Helvetica" w:cs="Helvetica"/>
                <w:b/>
                <w:bCs/>
              </w:rPr>
              <w:t>2023</w:t>
            </w:r>
          </w:p>
        </w:tc>
        <w:tc>
          <w:tcPr>
            <w:tcW w:w="5954" w:type="dxa"/>
          </w:tcPr>
          <w:p w14:paraId="4A1CF9CF" w14:textId="77777777" w:rsidR="002F23DB" w:rsidRPr="00D17F69" w:rsidRDefault="002F23DB" w:rsidP="002F23DB">
            <w:pPr>
              <w:rPr>
                <w:rFonts w:ascii="Helvetica" w:hAnsi="Helvetica" w:cs="Helvetica"/>
              </w:rPr>
            </w:pPr>
          </w:p>
        </w:tc>
        <w:tc>
          <w:tcPr>
            <w:tcW w:w="1984" w:type="dxa"/>
          </w:tcPr>
          <w:p w14:paraId="54A864BF" w14:textId="77777777" w:rsidR="002F23DB" w:rsidRPr="00D17F69" w:rsidRDefault="002F23DB" w:rsidP="002F23DB">
            <w:pPr>
              <w:rPr>
                <w:rFonts w:ascii="Helvetica" w:hAnsi="Helvetica" w:cs="Helvetica"/>
                <w:bCs/>
              </w:rPr>
            </w:pPr>
          </w:p>
        </w:tc>
      </w:tr>
      <w:tr w:rsidR="002F23DB" w:rsidRPr="00D17F69" w14:paraId="0CD0BFAB" w14:textId="77777777" w:rsidTr="002F23DB">
        <w:tc>
          <w:tcPr>
            <w:tcW w:w="2127" w:type="dxa"/>
          </w:tcPr>
          <w:p w14:paraId="08D62859" w14:textId="77777777" w:rsidR="002F23DB" w:rsidRPr="00D17F69" w:rsidRDefault="002F23DB" w:rsidP="002F23DB">
            <w:pPr>
              <w:rPr>
                <w:rFonts w:ascii="Helvetica" w:hAnsi="Helvetica" w:cs="Helvetica"/>
              </w:rPr>
            </w:pPr>
            <w:r w:rsidRPr="00D17F69">
              <w:rPr>
                <w:rFonts w:ascii="Helvetica" w:hAnsi="Helvetica" w:cs="Helvetica"/>
              </w:rPr>
              <w:t>1. Aims</w:t>
            </w:r>
          </w:p>
        </w:tc>
        <w:tc>
          <w:tcPr>
            <w:tcW w:w="5954" w:type="dxa"/>
          </w:tcPr>
          <w:p w14:paraId="1AD68D04" w14:textId="77777777" w:rsidR="002F23DB" w:rsidRPr="00D17F69" w:rsidRDefault="002F23DB" w:rsidP="002F23DB">
            <w:pPr>
              <w:rPr>
                <w:rFonts w:ascii="Helvetica" w:hAnsi="Helvetica" w:cs="Helvetica"/>
              </w:rPr>
            </w:pPr>
            <w:r w:rsidRPr="00D17F69">
              <w:rPr>
                <w:rFonts w:ascii="Helvetica" w:hAnsi="Helvetica" w:cs="Helvetica"/>
                <w:color w:val="FF0000"/>
              </w:rPr>
              <w:t xml:space="preserve">As per paragraph 7.1.3 </w:t>
            </w:r>
            <w:r w:rsidRPr="00D17F69">
              <w:rPr>
                <w:rFonts w:ascii="Helvetica" w:hAnsi="Helvetica" w:cs="Helvetica"/>
              </w:rPr>
              <w:t>of the Education and Skills Funding Agency’s Academies Accounts Direction Paragraph reference no longer current and date changed to 2022-2023</w:t>
            </w:r>
          </w:p>
          <w:p w14:paraId="33EC8C26" w14:textId="77777777" w:rsidR="002F23DB" w:rsidRPr="00D17F69" w:rsidRDefault="002F23DB" w:rsidP="002F23DB">
            <w:pPr>
              <w:rPr>
                <w:rFonts w:ascii="Helvetica" w:hAnsi="Helvetica" w:cs="Helvetica"/>
              </w:rPr>
            </w:pPr>
          </w:p>
        </w:tc>
        <w:tc>
          <w:tcPr>
            <w:tcW w:w="1984" w:type="dxa"/>
          </w:tcPr>
          <w:p w14:paraId="14C96267" w14:textId="77777777" w:rsidR="002F23DB" w:rsidRPr="00D17F69" w:rsidRDefault="002F23DB" w:rsidP="002F23DB">
            <w:pPr>
              <w:rPr>
                <w:rFonts w:ascii="Helvetica" w:hAnsi="Helvetica" w:cs="Helvetica"/>
                <w:bCs/>
              </w:rPr>
            </w:pPr>
            <w:r w:rsidRPr="00D17F69">
              <w:rPr>
                <w:rFonts w:ascii="Helvetica" w:hAnsi="Helvetica" w:cs="Helvetica"/>
                <w:bCs/>
              </w:rPr>
              <w:t>CFO</w:t>
            </w:r>
          </w:p>
        </w:tc>
      </w:tr>
      <w:tr w:rsidR="002F23DB" w:rsidRPr="00D17F69" w14:paraId="0F1DC950" w14:textId="77777777" w:rsidTr="002F23DB">
        <w:tc>
          <w:tcPr>
            <w:tcW w:w="2127" w:type="dxa"/>
          </w:tcPr>
          <w:p w14:paraId="3F55CA14" w14:textId="77777777" w:rsidR="002F23DB" w:rsidRPr="00D17F69" w:rsidRDefault="002F23DB" w:rsidP="002F23DB">
            <w:pPr>
              <w:rPr>
                <w:rFonts w:ascii="Helvetica" w:hAnsi="Helvetica" w:cs="Helvetica"/>
              </w:rPr>
            </w:pPr>
            <w:r w:rsidRPr="00D17F69">
              <w:rPr>
                <w:rFonts w:ascii="Helvetica" w:hAnsi="Helvetica" w:cs="Helvetica"/>
              </w:rPr>
              <w:t xml:space="preserve">Throughout </w:t>
            </w:r>
          </w:p>
        </w:tc>
        <w:tc>
          <w:tcPr>
            <w:tcW w:w="5954" w:type="dxa"/>
          </w:tcPr>
          <w:p w14:paraId="59363BA1" w14:textId="77777777" w:rsidR="002F23DB" w:rsidRPr="00D17F69" w:rsidRDefault="002F23DB" w:rsidP="002F23DB">
            <w:pPr>
              <w:rPr>
                <w:rFonts w:ascii="Helvetica" w:hAnsi="Helvetica" w:cs="Helvetica"/>
              </w:rPr>
            </w:pPr>
            <w:r w:rsidRPr="00D17F69">
              <w:rPr>
                <w:rFonts w:ascii="Helvetica" w:hAnsi="Helvetica" w:cs="Helvetica"/>
              </w:rPr>
              <w:t xml:space="preserve">Academies Accounts Direction </w:t>
            </w:r>
            <w:r w:rsidRPr="00D17F69">
              <w:rPr>
                <w:rFonts w:ascii="Helvetica" w:hAnsi="Helvetica" w:cs="Helvetica"/>
                <w:color w:val="FF0000"/>
              </w:rPr>
              <w:t xml:space="preserve">2021 to 2022 </w:t>
            </w:r>
            <w:r w:rsidRPr="00D17F69">
              <w:rPr>
                <w:rFonts w:ascii="Helvetica" w:hAnsi="Helvetica" w:cs="Helvetica"/>
              </w:rPr>
              <w:t>changed to 2022 to 2023</w:t>
            </w:r>
          </w:p>
        </w:tc>
        <w:tc>
          <w:tcPr>
            <w:tcW w:w="1984" w:type="dxa"/>
          </w:tcPr>
          <w:p w14:paraId="109A6B94" w14:textId="77777777" w:rsidR="002F23DB" w:rsidRPr="00D17F69" w:rsidRDefault="002F23DB" w:rsidP="002F23DB">
            <w:pPr>
              <w:rPr>
                <w:rFonts w:ascii="Helvetica" w:hAnsi="Helvetica" w:cs="Helvetica"/>
                <w:bCs/>
              </w:rPr>
            </w:pPr>
            <w:r w:rsidRPr="00D17F69">
              <w:rPr>
                <w:rFonts w:ascii="Helvetica" w:hAnsi="Helvetica" w:cs="Helvetica"/>
                <w:bCs/>
              </w:rPr>
              <w:t>CFO</w:t>
            </w:r>
          </w:p>
        </w:tc>
      </w:tr>
      <w:tr w:rsidR="00EC21E7" w:rsidRPr="00D17F69" w14:paraId="59C575CF" w14:textId="77777777" w:rsidTr="002F23DB">
        <w:tc>
          <w:tcPr>
            <w:tcW w:w="2127" w:type="dxa"/>
          </w:tcPr>
          <w:p w14:paraId="7E13FA77" w14:textId="0E7FF932" w:rsidR="00EC21E7" w:rsidRPr="00D17F69" w:rsidRDefault="0063318B" w:rsidP="002F23DB">
            <w:pPr>
              <w:rPr>
                <w:rFonts w:ascii="Helvetica" w:hAnsi="Helvetica" w:cs="Helvetica"/>
              </w:rPr>
            </w:pPr>
            <w:r w:rsidRPr="00D17F69">
              <w:rPr>
                <w:rFonts w:ascii="Helvetica" w:hAnsi="Helvetica" w:cs="Helvetica"/>
                <w:b/>
                <w:bCs/>
              </w:rPr>
              <w:t>V</w:t>
            </w:r>
            <w:proofErr w:type="gramStart"/>
            <w:r w:rsidRPr="00D17F69">
              <w:rPr>
                <w:rFonts w:ascii="Helvetica" w:hAnsi="Helvetica" w:cs="Helvetica"/>
                <w:b/>
                <w:bCs/>
              </w:rPr>
              <w:t xml:space="preserve">4 </w:t>
            </w:r>
            <w:r w:rsidRPr="00D17F69">
              <w:rPr>
                <w:rFonts w:ascii="Helvetica" w:hAnsi="Helvetica" w:cs="Helvetica"/>
                <w:b/>
              </w:rPr>
              <w:t xml:space="preserve"> November</w:t>
            </w:r>
            <w:proofErr w:type="gramEnd"/>
            <w:r w:rsidRPr="00D17F69">
              <w:rPr>
                <w:rFonts w:ascii="Helvetica" w:hAnsi="Helvetica" w:cs="Helvetica"/>
                <w:b/>
              </w:rPr>
              <w:t xml:space="preserve"> </w:t>
            </w:r>
            <w:r w:rsidRPr="00D17F69">
              <w:rPr>
                <w:rFonts w:ascii="Helvetica" w:hAnsi="Helvetica" w:cs="Helvetica"/>
                <w:b/>
                <w:bCs/>
              </w:rPr>
              <w:t>2023</w:t>
            </w:r>
          </w:p>
        </w:tc>
        <w:tc>
          <w:tcPr>
            <w:tcW w:w="5954" w:type="dxa"/>
          </w:tcPr>
          <w:p w14:paraId="5F7C9B11" w14:textId="77777777" w:rsidR="00EC21E7" w:rsidRPr="00D17F69" w:rsidRDefault="00EC21E7" w:rsidP="002F23DB">
            <w:pPr>
              <w:rPr>
                <w:rFonts w:ascii="Helvetica" w:hAnsi="Helvetica" w:cs="Helvetica"/>
              </w:rPr>
            </w:pPr>
          </w:p>
        </w:tc>
        <w:tc>
          <w:tcPr>
            <w:tcW w:w="1984" w:type="dxa"/>
          </w:tcPr>
          <w:p w14:paraId="4A55D47C" w14:textId="77777777" w:rsidR="00EC21E7" w:rsidRPr="00D17F69" w:rsidRDefault="00EC21E7" w:rsidP="002F23DB">
            <w:pPr>
              <w:rPr>
                <w:rFonts w:ascii="Helvetica" w:hAnsi="Helvetica" w:cs="Helvetica"/>
                <w:bCs/>
              </w:rPr>
            </w:pPr>
          </w:p>
        </w:tc>
      </w:tr>
      <w:tr w:rsidR="008772CF" w:rsidRPr="00D17F69" w14:paraId="719FA627" w14:textId="77777777" w:rsidTr="002F23DB">
        <w:tc>
          <w:tcPr>
            <w:tcW w:w="2127" w:type="dxa"/>
          </w:tcPr>
          <w:p w14:paraId="63E269C7" w14:textId="4EB859F1" w:rsidR="008772CF" w:rsidRPr="004B3CC0" w:rsidRDefault="00FE045C" w:rsidP="002F23DB">
            <w:pPr>
              <w:rPr>
                <w:rFonts w:ascii="Helvetica" w:hAnsi="Helvetica" w:cs="Helvetica"/>
              </w:rPr>
            </w:pPr>
            <w:r w:rsidRPr="004B3CC0">
              <w:rPr>
                <w:rFonts w:ascii="Helvetica" w:hAnsi="Helvetica" w:cs="Helvetica"/>
              </w:rPr>
              <w:t>Throughout</w:t>
            </w:r>
          </w:p>
        </w:tc>
        <w:tc>
          <w:tcPr>
            <w:tcW w:w="5954" w:type="dxa"/>
          </w:tcPr>
          <w:p w14:paraId="0000E07F" w14:textId="74C59F66" w:rsidR="008772CF" w:rsidRPr="00D17F69" w:rsidRDefault="00FE045C" w:rsidP="002F23DB">
            <w:pPr>
              <w:rPr>
                <w:rFonts w:ascii="Helvetica" w:hAnsi="Helvetica" w:cs="Helvetica"/>
              </w:rPr>
            </w:pPr>
            <w:r w:rsidRPr="00D17F69">
              <w:rPr>
                <w:rFonts w:ascii="Helvetica" w:hAnsi="Helvetica" w:cs="Helvetica"/>
              </w:rPr>
              <w:t xml:space="preserve">Academies Accounts Direction </w:t>
            </w:r>
            <w:r w:rsidRPr="00D17F69">
              <w:rPr>
                <w:rFonts w:ascii="Helvetica" w:hAnsi="Helvetica" w:cs="Helvetica"/>
                <w:color w:val="FF0000"/>
              </w:rPr>
              <w:t>202</w:t>
            </w:r>
            <w:r w:rsidR="000A7843">
              <w:rPr>
                <w:rFonts w:ascii="Helvetica" w:hAnsi="Helvetica" w:cs="Helvetica"/>
                <w:color w:val="FF0000"/>
              </w:rPr>
              <w:t>2</w:t>
            </w:r>
            <w:r w:rsidRPr="00D17F69">
              <w:rPr>
                <w:rFonts w:ascii="Helvetica" w:hAnsi="Helvetica" w:cs="Helvetica"/>
                <w:color w:val="FF0000"/>
              </w:rPr>
              <w:t xml:space="preserve"> to 202</w:t>
            </w:r>
            <w:r w:rsidR="000A7843">
              <w:rPr>
                <w:rFonts w:ascii="Helvetica" w:hAnsi="Helvetica" w:cs="Helvetica"/>
                <w:color w:val="FF0000"/>
              </w:rPr>
              <w:t>3</w:t>
            </w:r>
            <w:r w:rsidRPr="00D17F69">
              <w:rPr>
                <w:rFonts w:ascii="Helvetica" w:hAnsi="Helvetica" w:cs="Helvetica"/>
                <w:color w:val="FF0000"/>
              </w:rPr>
              <w:t xml:space="preserve"> </w:t>
            </w:r>
            <w:r w:rsidRPr="00D17F69">
              <w:rPr>
                <w:rFonts w:ascii="Helvetica" w:hAnsi="Helvetica" w:cs="Helvetica"/>
              </w:rPr>
              <w:t>changed to 202</w:t>
            </w:r>
            <w:r w:rsidR="000A7843">
              <w:rPr>
                <w:rFonts w:ascii="Helvetica" w:hAnsi="Helvetica" w:cs="Helvetica"/>
              </w:rPr>
              <w:t>3</w:t>
            </w:r>
            <w:r w:rsidRPr="00D17F69">
              <w:rPr>
                <w:rFonts w:ascii="Helvetica" w:hAnsi="Helvetica" w:cs="Helvetica"/>
              </w:rPr>
              <w:t xml:space="preserve"> to 202</w:t>
            </w:r>
            <w:r w:rsidR="000A7843">
              <w:rPr>
                <w:rFonts w:ascii="Helvetica" w:hAnsi="Helvetica" w:cs="Helvetica"/>
              </w:rPr>
              <w:t>4</w:t>
            </w:r>
          </w:p>
        </w:tc>
        <w:tc>
          <w:tcPr>
            <w:tcW w:w="1984" w:type="dxa"/>
          </w:tcPr>
          <w:p w14:paraId="3CB11C83" w14:textId="469D2CFF" w:rsidR="008772CF" w:rsidRPr="00D17F69" w:rsidRDefault="00FE045C" w:rsidP="002F23DB">
            <w:pPr>
              <w:rPr>
                <w:rFonts w:ascii="Helvetica" w:hAnsi="Helvetica" w:cs="Helvetica"/>
                <w:bCs/>
              </w:rPr>
            </w:pPr>
            <w:r>
              <w:rPr>
                <w:rFonts w:ascii="Helvetica" w:hAnsi="Helvetica" w:cs="Helvetica"/>
                <w:bCs/>
              </w:rPr>
              <w:t>CFO</w:t>
            </w:r>
          </w:p>
        </w:tc>
      </w:tr>
      <w:tr w:rsidR="007F4A50" w:rsidRPr="00D17F69" w14:paraId="3A64E306" w14:textId="77777777" w:rsidTr="002F23DB">
        <w:tc>
          <w:tcPr>
            <w:tcW w:w="2127" w:type="dxa"/>
          </w:tcPr>
          <w:p w14:paraId="486FE825" w14:textId="6CEDFE06" w:rsidR="007F4A50" w:rsidRPr="004B3CC0" w:rsidRDefault="001C3478" w:rsidP="002F23DB">
            <w:pPr>
              <w:rPr>
                <w:rFonts w:ascii="Helvetica" w:hAnsi="Helvetica" w:cs="Helvetica"/>
              </w:rPr>
            </w:pPr>
            <w:r>
              <w:rPr>
                <w:rFonts w:ascii="Helvetica" w:hAnsi="Helvetica" w:cs="Helvetica"/>
              </w:rPr>
              <w:t xml:space="preserve">17. </w:t>
            </w:r>
            <w:r w:rsidR="006D65DF">
              <w:rPr>
                <w:rFonts w:ascii="Helvetica" w:hAnsi="Helvetica" w:cs="Helvetica"/>
              </w:rPr>
              <w:t>Depreciati</w:t>
            </w:r>
            <w:r w:rsidR="0032737F">
              <w:rPr>
                <w:rFonts w:ascii="Helvetica" w:hAnsi="Helvetica" w:cs="Helvetica"/>
              </w:rPr>
              <w:t>on</w:t>
            </w:r>
          </w:p>
        </w:tc>
        <w:tc>
          <w:tcPr>
            <w:tcW w:w="5954" w:type="dxa"/>
          </w:tcPr>
          <w:p w14:paraId="4B663F2F" w14:textId="668E5CF8" w:rsidR="007F4A50" w:rsidRPr="007F4A50" w:rsidRDefault="007F4A50" w:rsidP="007F4A50">
            <w:pPr>
              <w:rPr>
                <w:rFonts w:ascii="Helvetica" w:hAnsi="Helvetica" w:cs="Helvetica"/>
                <w:sz w:val="24"/>
                <w:szCs w:val="24"/>
              </w:rPr>
            </w:pPr>
            <w:r w:rsidRPr="007F4A50">
              <w:rPr>
                <w:rFonts w:ascii="Helvetica" w:hAnsi="Helvetica" w:cs="Helvetica"/>
                <w:sz w:val="24"/>
                <w:szCs w:val="24"/>
              </w:rPr>
              <w:t>Fixtures, fittings and equipment – [</w:t>
            </w:r>
            <w:r w:rsidR="001C3478" w:rsidRPr="001C3478">
              <w:rPr>
                <w:rFonts w:ascii="Helvetica" w:hAnsi="Helvetica" w:cs="Helvetica"/>
                <w:color w:val="FF0000"/>
                <w:sz w:val="24"/>
                <w:szCs w:val="24"/>
              </w:rPr>
              <w:t>7</w:t>
            </w:r>
            <w:r w:rsidRPr="001C3478">
              <w:rPr>
                <w:rFonts w:ascii="Helvetica" w:hAnsi="Helvetica" w:cs="Helvetica"/>
                <w:color w:val="FF0000"/>
                <w:sz w:val="24"/>
                <w:szCs w:val="24"/>
              </w:rPr>
              <w:t xml:space="preserve"> years</w:t>
            </w:r>
            <w:r w:rsidRPr="007F4A50">
              <w:rPr>
                <w:rFonts w:ascii="Helvetica" w:hAnsi="Helvetica" w:cs="Helvetica"/>
                <w:sz w:val="24"/>
                <w:szCs w:val="24"/>
              </w:rPr>
              <w:t xml:space="preserve">] </w:t>
            </w:r>
            <w:r w:rsidR="001C3478">
              <w:rPr>
                <w:rFonts w:ascii="Helvetica" w:hAnsi="Helvetica" w:cs="Helvetica"/>
                <w:sz w:val="24"/>
                <w:szCs w:val="24"/>
              </w:rPr>
              <w:t>changed to 5 years</w:t>
            </w:r>
          </w:p>
          <w:p w14:paraId="0829A1E5" w14:textId="77777777" w:rsidR="007F4A50" w:rsidRPr="00D17F69" w:rsidRDefault="007F4A50" w:rsidP="002F23DB">
            <w:pPr>
              <w:rPr>
                <w:rFonts w:ascii="Helvetica" w:hAnsi="Helvetica" w:cs="Helvetica"/>
              </w:rPr>
            </w:pPr>
          </w:p>
        </w:tc>
        <w:tc>
          <w:tcPr>
            <w:tcW w:w="1984" w:type="dxa"/>
          </w:tcPr>
          <w:p w14:paraId="4034887C" w14:textId="5D2FEBEF" w:rsidR="007F4A50" w:rsidRDefault="001C3478" w:rsidP="002F23DB">
            <w:pPr>
              <w:rPr>
                <w:rFonts w:ascii="Helvetica" w:hAnsi="Helvetica" w:cs="Helvetica"/>
                <w:bCs/>
              </w:rPr>
            </w:pPr>
            <w:r>
              <w:rPr>
                <w:rFonts w:ascii="Helvetica" w:hAnsi="Helvetica" w:cs="Helvetica"/>
                <w:bCs/>
              </w:rPr>
              <w:t>CFO</w:t>
            </w:r>
          </w:p>
        </w:tc>
      </w:tr>
    </w:tbl>
    <w:p w14:paraId="633332E1" w14:textId="0760A6D8" w:rsidR="00BA1703" w:rsidRPr="00291BBC" w:rsidRDefault="002D79A6" w:rsidP="00BA1703">
      <w:pPr>
        <w:rPr>
          <w:rFonts w:ascii="Century Gothic" w:hAnsi="Century Gothic" w:cs="Helvetica"/>
          <w:b/>
          <w:sz w:val="24"/>
          <w:szCs w:val="24"/>
        </w:rPr>
      </w:pPr>
      <w:r w:rsidRPr="00291BBC">
        <w:rPr>
          <w:rFonts w:ascii="Century Gothic" w:hAnsi="Century Gothic" w:cs="Helvetica"/>
          <w:b/>
          <w:sz w:val="24"/>
          <w:szCs w:val="24"/>
        </w:rPr>
        <w:t>Version Control</w:t>
      </w:r>
    </w:p>
    <w:sectPr w:rsidR="00BA1703" w:rsidRPr="00291BBC" w:rsidSect="00B64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02C"/>
    <w:multiLevelType w:val="hybridMultilevel"/>
    <w:tmpl w:val="0A2A3C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D7224"/>
    <w:multiLevelType w:val="hybridMultilevel"/>
    <w:tmpl w:val="6B2E50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BB5816"/>
    <w:multiLevelType w:val="hybridMultilevel"/>
    <w:tmpl w:val="1C2E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3360B2"/>
    <w:multiLevelType w:val="hybridMultilevel"/>
    <w:tmpl w:val="B7304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121D8C"/>
    <w:multiLevelType w:val="hybridMultilevel"/>
    <w:tmpl w:val="C1CAF80C"/>
    <w:lvl w:ilvl="0" w:tplc="A3EAE934">
      <w:start w:val="1"/>
      <w:numFmt w:val="decimal"/>
      <w:lvlText w:val="%1."/>
      <w:lvlJc w:val="left"/>
      <w:pPr>
        <w:ind w:left="1080" w:hanging="360"/>
      </w:pPr>
      <w:rPr>
        <w:rFonts w:ascii="Century Gothic" w:hAnsi="Century Gothic" w:hint="default"/>
        <w:b/>
        <w:bCs/>
        <w:sz w:val="26"/>
        <w:szCs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15155E"/>
    <w:multiLevelType w:val="hybridMultilevel"/>
    <w:tmpl w:val="F1364464"/>
    <w:lvl w:ilvl="0" w:tplc="08C6D5BC">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5C4381"/>
    <w:multiLevelType w:val="hybridMultilevel"/>
    <w:tmpl w:val="FF200A70"/>
    <w:lvl w:ilvl="0" w:tplc="F2A40DB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83"/>
    <w:rsid w:val="00073537"/>
    <w:rsid w:val="00076AE5"/>
    <w:rsid w:val="000A7843"/>
    <w:rsid w:val="000D242A"/>
    <w:rsid w:val="000E11A8"/>
    <w:rsid w:val="000E7CAC"/>
    <w:rsid w:val="000F3476"/>
    <w:rsid w:val="00134403"/>
    <w:rsid w:val="00175492"/>
    <w:rsid w:val="001C3478"/>
    <w:rsid w:val="00207202"/>
    <w:rsid w:val="00241358"/>
    <w:rsid w:val="00254C12"/>
    <w:rsid w:val="0026207B"/>
    <w:rsid w:val="00291BBC"/>
    <w:rsid w:val="002C1528"/>
    <w:rsid w:val="002D79A6"/>
    <w:rsid w:val="002F23DB"/>
    <w:rsid w:val="00320ED8"/>
    <w:rsid w:val="0032737F"/>
    <w:rsid w:val="003274D9"/>
    <w:rsid w:val="00336129"/>
    <w:rsid w:val="0041199A"/>
    <w:rsid w:val="00430E85"/>
    <w:rsid w:val="004B38A2"/>
    <w:rsid w:val="004B3CC0"/>
    <w:rsid w:val="00504365"/>
    <w:rsid w:val="00552D41"/>
    <w:rsid w:val="00575C83"/>
    <w:rsid w:val="005A7D2D"/>
    <w:rsid w:val="005C41BF"/>
    <w:rsid w:val="005F4EDD"/>
    <w:rsid w:val="0063318B"/>
    <w:rsid w:val="0068153A"/>
    <w:rsid w:val="00687A49"/>
    <w:rsid w:val="006D5065"/>
    <w:rsid w:val="006D65DF"/>
    <w:rsid w:val="0071211A"/>
    <w:rsid w:val="007A6C11"/>
    <w:rsid w:val="007B44CF"/>
    <w:rsid w:val="007F4A50"/>
    <w:rsid w:val="008031E8"/>
    <w:rsid w:val="008350E6"/>
    <w:rsid w:val="008772CF"/>
    <w:rsid w:val="00877C8A"/>
    <w:rsid w:val="00980496"/>
    <w:rsid w:val="00A376EF"/>
    <w:rsid w:val="00AB239F"/>
    <w:rsid w:val="00AC29FC"/>
    <w:rsid w:val="00AD32CA"/>
    <w:rsid w:val="00AD38A9"/>
    <w:rsid w:val="00AE4EE9"/>
    <w:rsid w:val="00B33431"/>
    <w:rsid w:val="00B642D2"/>
    <w:rsid w:val="00BA1703"/>
    <w:rsid w:val="00D07FA9"/>
    <w:rsid w:val="00D17F69"/>
    <w:rsid w:val="00D201AD"/>
    <w:rsid w:val="00D703EF"/>
    <w:rsid w:val="00DC5EE6"/>
    <w:rsid w:val="00DD78E6"/>
    <w:rsid w:val="00DF4D78"/>
    <w:rsid w:val="00E2280D"/>
    <w:rsid w:val="00E3186A"/>
    <w:rsid w:val="00EC21E7"/>
    <w:rsid w:val="00F16ECF"/>
    <w:rsid w:val="00FD0171"/>
    <w:rsid w:val="00FE045C"/>
    <w:rsid w:val="00FF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367E"/>
  <w15:docId w15:val="{3AB51C57-7732-41C1-993F-C524EFB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96"/>
    <w:pPr>
      <w:ind w:left="720"/>
      <w:contextualSpacing/>
    </w:pPr>
  </w:style>
  <w:style w:type="paragraph" w:styleId="BalloonText">
    <w:name w:val="Balloon Text"/>
    <w:basedOn w:val="Normal"/>
    <w:link w:val="BalloonTextChar"/>
    <w:uiPriority w:val="99"/>
    <w:semiHidden/>
    <w:unhideWhenUsed/>
    <w:rsid w:val="0071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11A"/>
    <w:rPr>
      <w:rFonts w:ascii="Tahoma" w:hAnsi="Tahoma" w:cs="Tahoma"/>
      <w:sz w:val="16"/>
      <w:szCs w:val="16"/>
    </w:rPr>
  </w:style>
  <w:style w:type="character" w:styleId="Hyperlink">
    <w:name w:val="Hyperlink"/>
    <w:basedOn w:val="DefaultParagraphFont"/>
    <w:uiPriority w:val="99"/>
    <w:unhideWhenUsed/>
    <w:rsid w:val="007B44CF"/>
    <w:rPr>
      <w:color w:val="0000FF"/>
      <w:u w:val="single"/>
    </w:rPr>
  </w:style>
  <w:style w:type="character" w:styleId="FollowedHyperlink">
    <w:name w:val="FollowedHyperlink"/>
    <w:basedOn w:val="DefaultParagraphFont"/>
    <w:uiPriority w:val="99"/>
    <w:semiHidden/>
    <w:unhideWhenUsed/>
    <w:rsid w:val="000F3476"/>
    <w:rPr>
      <w:color w:val="800080" w:themeColor="followedHyperlink"/>
      <w:u w:val="single"/>
    </w:rPr>
  </w:style>
  <w:style w:type="table" w:styleId="TableGrid">
    <w:name w:val="Table Grid"/>
    <w:basedOn w:val="TableNormal"/>
    <w:uiPriority w:val="39"/>
    <w:rsid w:val="00BA1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17F6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17F6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rc.org.uk/getattachment/e1d6b167-6cdb-4550-bde3-f94484226fbd/FRS-102-WEB-Ready-201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ritysorp.org/media/645614/frs102_bulletin_1_sor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ritysorp.org/media/619101/frs102_complet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academies-accounts-direction" TargetMode="External"/><Relationship Id="rId4" Type="http://schemas.openxmlformats.org/officeDocument/2006/relationships/numbering" Target="numbering.xml"/><Relationship Id="rId9" Type="http://schemas.openxmlformats.org/officeDocument/2006/relationships/hyperlink" Target="https://www.gov.uk/guidance/academies-financial-handboo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E2525-F2FF-4935-B02D-931E093A1A58}">
  <ds:schemaRefs>
    <ds:schemaRef ds:uri="http://schemas.microsoft.com/office/2006/metadata/properties"/>
    <ds:schemaRef ds:uri="http://schemas.microsoft.com/office/infopath/2007/PartnerControls"/>
    <ds:schemaRef ds:uri="7704479b-608a-46cb-b3b6-e53299142169"/>
    <ds:schemaRef ds:uri="c90fd464-7aa0-43d4-b8c4-b89afe5131a9"/>
  </ds:schemaRefs>
</ds:datastoreItem>
</file>

<file path=customXml/itemProps2.xml><?xml version="1.0" encoding="utf-8"?>
<ds:datastoreItem xmlns:ds="http://schemas.openxmlformats.org/officeDocument/2006/customXml" ds:itemID="{8509D26C-A289-4365-AF10-D62B27CAAC36}"/>
</file>

<file path=customXml/itemProps3.xml><?xml version="1.0" encoding="utf-8"?>
<ds:datastoreItem xmlns:ds="http://schemas.openxmlformats.org/officeDocument/2006/customXml" ds:itemID="{FA1B18A7-EBC0-4051-9912-A0348689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J. HOWARD (Children First Learning Partnership)</cp:lastModifiedBy>
  <cp:revision>2</cp:revision>
  <cp:lastPrinted>2023-11-24T16:33:00Z</cp:lastPrinted>
  <dcterms:created xsi:type="dcterms:W3CDTF">2024-11-15T12:51:00Z</dcterms:created>
  <dcterms:modified xsi:type="dcterms:W3CDTF">2024-11-15T12:51:00Z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